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DE5" w:rsidRPr="0022418B" w:rsidRDefault="009F5DE5" w:rsidP="0022418B">
      <w:pPr>
        <w:spacing w:line="360" w:lineRule="auto"/>
        <w:jc w:val="center"/>
        <w:rPr>
          <w:rFonts w:ascii="Arial" w:hAnsi="Arial" w:cs="Arial"/>
          <w:color w:val="FF0000"/>
          <w:sz w:val="28"/>
          <w:szCs w:val="28"/>
          <w:lang w:val="es-ES"/>
        </w:rPr>
      </w:pPr>
      <w:r w:rsidRPr="0022418B">
        <w:rPr>
          <w:rFonts w:ascii="Arial" w:hAnsi="Arial" w:cs="Arial"/>
          <w:color w:val="FF0000"/>
          <w:sz w:val="28"/>
          <w:szCs w:val="28"/>
          <w:lang w:val="es-ES"/>
        </w:rPr>
        <w:t>FLUJO SANGUÍNEO</w:t>
      </w:r>
    </w:p>
    <w:p w:rsidR="009F5DE5" w:rsidRPr="0022418B" w:rsidRDefault="009F5DE5" w:rsidP="0022418B">
      <w:pPr>
        <w:spacing w:line="360" w:lineRule="auto"/>
        <w:jc w:val="both"/>
        <w:rPr>
          <w:rFonts w:ascii="Arial" w:hAnsi="Arial" w:cs="Arial"/>
          <w:sz w:val="28"/>
          <w:szCs w:val="28"/>
          <w:lang w:val="es-ES"/>
        </w:rPr>
      </w:pPr>
      <w:r w:rsidRPr="0022418B">
        <w:rPr>
          <w:rFonts w:ascii="Arial" w:hAnsi="Arial" w:cs="Arial"/>
          <w:sz w:val="28"/>
          <w:szCs w:val="28"/>
          <w:lang w:val="es-ES"/>
        </w:rPr>
        <w:t>El flujo sanguíneo es el volumen de sangre que flu</w:t>
      </w:r>
      <w:r w:rsidRPr="0022418B">
        <w:rPr>
          <w:rFonts w:ascii="Arial" w:hAnsi="Arial" w:cs="Arial"/>
          <w:sz w:val="28"/>
          <w:szCs w:val="28"/>
          <w:lang w:val="es-ES"/>
        </w:rPr>
        <w:t xml:space="preserve">ye a través de cualquier tejido </w:t>
      </w:r>
      <w:r w:rsidRPr="0022418B">
        <w:rPr>
          <w:rFonts w:ascii="Arial" w:hAnsi="Arial" w:cs="Arial"/>
          <w:sz w:val="28"/>
          <w:szCs w:val="28"/>
          <w:lang w:val="es-ES"/>
        </w:rPr>
        <w:t>por unidad de tiempo (ml/minuto). El flujo sanguíneo</w:t>
      </w:r>
      <w:r w:rsidRPr="0022418B">
        <w:rPr>
          <w:rFonts w:ascii="Arial" w:hAnsi="Arial" w:cs="Arial"/>
          <w:sz w:val="28"/>
          <w:szCs w:val="28"/>
          <w:lang w:val="es-ES"/>
        </w:rPr>
        <w:t xml:space="preserve"> total es el gasto cardiaco. La </w:t>
      </w:r>
      <w:r w:rsidRPr="0022418B">
        <w:rPr>
          <w:rFonts w:ascii="Arial" w:hAnsi="Arial" w:cs="Arial"/>
          <w:sz w:val="28"/>
          <w:szCs w:val="28"/>
          <w:lang w:val="es-ES"/>
        </w:rPr>
        <w:t xml:space="preserve">distribución del gasto cardiaco entre las diferentes </w:t>
      </w:r>
      <w:r w:rsidRPr="0022418B">
        <w:rPr>
          <w:rFonts w:ascii="Arial" w:hAnsi="Arial" w:cs="Arial"/>
          <w:sz w:val="28"/>
          <w:szCs w:val="28"/>
          <w:lang w:val="es-ES"/>
        </w:rPr>
        <w:t xml:space="preserve">partes del cuerpo depende de la </w:t>
      </w:r>
      <w:r w:rsidRPr="0022418B">
        <w:rPr>
          <w:rFonts w:ascii="Arial" w:hAnsi="Arial" w:cs="Arial"/>
          <w:sz w:val="28"/>
          <w:szCs w:val="28"/>
          <w:lang w:val="es-ES"/>
        </w:rPr>
        <w:t xml:space="preserve">diferencia de presión entre dos puntos del sistema </w:t>
      </w:r>
      <w:r w:rsidRPr="0022418B">
        <w:rPr>
          <w:rFonts w:ascii="Arial" w:hAnsi="Arial" w:cs="Arial"/>
          <w:sz w:val="28"/>
          <w:szCs w:val="28"/>
          <w:lang w:val="es-ES"/>
        </w:rPr>
        <w:t xml:space="preserve">vascular y de la resistencia al </w:t>
      </w:r>
      <w:r w:rsidRPr="0022418B">
        <w:rPr>
          <w:rFonts w:ascii="Arial" w:hAnsi="Arial" w:cs="Arial"/>
          <w:sz w:val="28"/>
          <w:szCs w:val="28"/>
          <w:lang w:val="es-ES"/>
        </w:rPr>
        <w:t>flujo sanguíneo.</w:t>
      </w:r>
    </w:p>
    <w:p w:rsidR="009F5DE5" w:rsidRPr="0022418B" w:rsidRDefault="009F5DE5" w:rsidP="0022418B">
      <w:pPr>
        <w:spacing w:line="360" w:lineRule="auto"/>
        <w:jc w:val="center"/>
        <w:rPr>
          <w:rFonts w:ascii="Arial" w:eastAsia="Times New Roman" w:hAnsi="Arial" w:cs="Arial"/>
          <w:color w:val="333333"/>
          <w:sz w:val="28"/>
          <w:szCs w:val="28"/>
          <w:lang w:val="es-ES"/>
        </w:rPr>
      </w:pPr>
      <w:r w:rsidRPr="0022418B">
        <w:rPr>
          <w:rFonts w:ascii="Arial" w:eastAsia="Times New Roman" w:hAnsi="Arial" w:cs="Arial"/>
          <w:bCs/>
          <w:color w:val="FF0000"/>
          <w:sz w:val="28"/>
          <w:szCs w:val="28"/>
          <w:lang w:val="es-ES"/>
        </w:rPr>
        <w:t>Viscosidad</w:t>
      </w:r>
    </w:p>
    <w:p w:rsidR="009F5DE5" w:rsidRPr="0022418B" w:rsidRDefault="009F5DE5" w:rsidP="0022418B">
      <w:pPr>
        <w:spacing w:line="360" w:lineRule="auto"/>
        <w:jc w:val="both"/>
        <w:rPr>
          <w:rFonts w:ascii="Arial" w:eastAsia="Times New Roman" w:hAnsi="Arial" w:cs="Arial"/>
          <w:color w:val="333333"/>
          <w:sz w:val="28"/>
          <w:szCs w:val="28"/>
          <w:lang w:val="es-ES"/>
        </w:rPr>
      </w:pPr>
      <w:r w:rsidRPr="0022418B">
        <w:rPr>
          <w:rFonts w:ascii="Arial" w:eastAsia="Times New Roman" w:hAnsi="Arial" w:cs="Arial"/>
          <w:color w:val="333333"/>
          <w:sz w:val="28"/>
          <w:szCs w:val="28"/>
          <w:lang w:val="es-ES"/>
        </w:rPr>
        <w:t>Uno de los factores que determina la resistencia a</w:t>
      </w:r>
      <w:bookmarkStart w:id="0" w:name="_GoBack"/>
      <w:bookmarkEnd w:id="0"/>
      <w:r w:rsidRPr="0022418B">
        <w:rPr>
          <w:rFonts w:ascii="Arial" w:eastAsia="Times New Roman" w:hAnsi="Arial" w:cs="Arial"/>
          <w:color w:val="333333"/>
          <w:sz w:val="28"/>
          <w:szCs w:val="28"/>
          <w:lang w:val="es-ES"/>
        </w:rPr>
        <w:t>l movimiento de los fluidos son las fuerzas de rozamiento entre las partes contiguas del fluido, las fuerzas de viscosidad.</w:t>
      </w:r>
    </w:p>
    <w:p w:rsidR="009F5DE5" w:rsidRPr="0022418B" w:rsidRDefault="009F5DE5" w:rsidP="0022418B">
      <w:pPr>
        <w:spacing w:line="360" w:lineRule="auto"/>
        <w:jc w:val="both"/>
        <w:rPr>
          <w:rFonts w:ascii="Arial" w:eastAsia="Times New Roman" w:hAnsi="Arial" w:cs="Arial"/>
          <w:color w:val="333333"/>
          <w:sz w:val="28"/>
          <w:szCs w:val="28"/>
          <w:lang w:val="es-ES"/>
        </w:rPr>
      </w:pPr>
      <w:r w:rsidRPr="0022418B">
        <w:rPr>
          <w:rFonts w:ascii="Arial" w:eastAsia="Times New Roman" w:hAnsi="Arial" w:cs="Arial"/>
          <w:color w:val="333333"/>
          <w:sz w:val="28"/>
          <w:szCs w:val="28"/>
          <w:lang w:val="es-ES"/>
        </w:rPr>
        <w:t>La viscosidad (</w:t>
      </w:r>
      <w:r w:rsidRPr="0022418B">
        <w:rPr>
          <w:rFonts w:ascii="Arial" w:eastAsia="Times New Roman" w:hAnsi="Arial" w:cs="Arial"/>
          <w:color w:val="333333"/>
          <w:sz w:val="28"/>
          <w:szCs w:val="28"/>
        </w:rPr>
        <w:t>η</w:t>
      </w:r>
      <w:r w:rsidRPr="0022418B">
        <w:rPr>
          <w:rFonts w:ascii="Arial" w:eastAsia="Times New Roman" w:hAnsi="Arial" w:cs="Arial"/>
          <w:color w:val="333333"/>
          <w:sz w:val="28"/>
          <w:szCs w:val="28"/>
          <w:lang w:val="es-ES"/>
        </w:rPr>
        <w:t>) se define como la propiedad de los fluidos, principalmente de los líquidos, de oponer resistencia al desplazamiento tangencial de capas de moléculas. Según Newton, resulta del cociente entre la tensión de propulsión (</w:t>
      </w:r>
      <w:r w:rsidRPr="0022418B">
        <w:rPr>
          <w:rFonts w:ascii="Arial" w:eastAsia="Times New Roman" w:hAnsi="Arial" w:cs="Arial"/>
          <w:color w:val="333333"/>
          <w:sz w:val="28"/>
          <w:szCs w:val="28"/>
        </w:rPr>
        <w:t>τ</w:t>
      </w:r>
      <w:r w:rsidRPr="0022418B">
        <w:rPr>
          <w:rFonts w:ascii="Arial" w:eastAsia="Times New Roman" w:hAnsi="Arial" w:cs="Arial"/>
          <w:color w:val="333333"/>
          <w:sz w:val="28"/>
          <w:szCs w:val="28"/>
          <w:lang w:val="es-ES"/>
        </w:rPr>
        <w:t>) o fuerza de cizalladura y el gradiente de velocidad (</w:t>
      </w:r>
      <w:proofErr w:type="spellStart"/>
      <w:r w:rsidRPr="0022418B">
        <w:rPr>
          <w:rFonts w:ascii="Arial" w:eastAsia="Times New Roman" w:hAnsi="Arial" w:cs="Arial"/>
          <w:color w:val="333333"/>
          <w:sz w:val="28"/>
          <w:szCs w:val="28"/>
        </w:rPr>
        <w:t>Δν</w:t>
      </w:r>
      <w:proofErr w:type="spellEnd"/>
      <w:r w:rsidRPr="0022418B">
        <w:rPr>
          <w:rFonts w:ascii="Arial" w:eastAsia="Times New Roman" w:hAnsi="Arial" w:cs="Arial"/>
          <w:color w:val="333333"/>
          <w:sz w:val="28"/>
          <w:szCs w:val="28"/>
          <w:lang w:val="es-ES"/>
        </w:rPr>
        <w:t>) entre las distintas capas de líquidos.</w:t>
      </w:r>
    </w:p>
    <w:p w:rsidR="009F5DE5" w:rsidRPr="0022418B" w:rsidRDefault="009F5DE5" w:rsidP="0022418B">
      <w:pPr>
        <w:spacing w:line="360" w:lineRule="auto"/>
        <w:jc w:val="both"/>
        <w:rPr>
          <w:rFonts w:ascii="Arial" w:eastAsia="Times New Roman" w:hAnsi="Arial" w:cs="Arial"/>
          <w:color w:val="333333"/>
          <w:sz w:val="28"/>
          <w:szCs w:val="28"/>
        </w:rPr>
      </w:pPr>
      <w:r w:rsidRPr="0022418B">
        <w:rPr>
          <w:rFonts w:ascii="Arial" w:eastAsia="Times New Roman" w:hAnsi="Arial" w:cs="Arial"/>
          <w:noProof/>
          <w:color w:val="333333"/>
          <w:sz w:val="28"/>
          <w:szCs w:val="28"/>
        </w:rPr>
        <w:drawing>
          <wp:inline distT="0" distB="0" distL="0" distR="0" wp14:anchorId="4D913E43" wp14:editId="580E611D">
            <wp:extent cx="466725" cy="390525"/>
            <wp:effectExtent l="0" t="0" r="9525" b="9525"/>
            <wp:docPr id="3" name="Imagen 3" descr="Imagen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p w:rsidR="009F5DE5" w:rsidRPr="0022418B" w:rsidRDefault="009F5DE5" w:rsidP="0022418B">
      <w:pPr>
        <w:spacing w:line="360" w:lineRule="auto"/>
        <w:jc w:val="both"/>
        <w:rPr>
          <w:rFonts w:ascii="Arial" w:eastAsia="Times New Roman" w:hAnsi="Arial" w:cs="Arial"/>
          <w:color w:val="333333"/>
          <w:sz w:val="28"/>
          <w:szCs w:val="28"/>
          <w:lang w:val="es-ES"/>
        </w:rPr>
      </w:pPr>
      <w:r w:rsidRPr="0022418B">
        <w:rPr>
          <w:rFonts w:ascii="Arial" w:eastAsia="Times New Roman" w:hAnsi="Arial" w:cs="Arial"/>
          <w:color w:val="333333"/>
          <w:sz w:val="28"/>
          <w:szCs w:val="28"/>
          <w:lang w:val="es-ES"/>
        </w:rPr>
        <w:t>Las unidades de </w:t>
      </w:r>
      <w:r w:rsidRPr="0022418B">
        <w:rPr>
          <w:rFonts w:ascii="Arial" w:eastAsia="Times New Roman" w:hAnsi="Arial" w:cs="Arial"/>
          <w:iCs/>
          <w:color w:val="333333"/>
          <w:sz w:val="28"/>
          <w:szCs w:val="28"/>
        </w:rPr>
        <w:t>η</w:t>
      </w:r>
      <w:r w:rsidRPr="0022418B">
        <w:rPr>
          <w:rFonts w:ascii="Arial" w:eastAsia="Times New Roman" w:hAnsi="Arial" w:cs="Arial"/>
          <w:color w:val="333333"/>
          <w:sz w:val="28"/>
          <w:szCs w:val="28"/>
          <w:lang w:val="es-ES"/>
        </w:rPr>
        <w:t> son Pascales/</w:t>
      </w:r>
      <w:proofErr w:type="spellStart"/>
      <w:r w:rsidRPr="0022418B">
        <w:rPr>
          <w:rFonts w:ascii="Arial" w:eastAsia="Times New Roman" w:hAnsi="Arial" w:cs="Arial"/>
          <w:color w:val="333333"/>
          <w:sz w:val="28"/>
          <w:szCs w:val="28"/>
          <w:lang w:val="es-ES"/>
        </w:rPr>
        <w:t>seg</w:t>
      </w:r>
      <w:proofErr w:type="spellEnd"/>
      <w:r w:rsidRPr="0022418B">
        <w:rPr>
          <w:rFonts w:ascii="Arial" w:eastAsia="Times New Roman" w:hAnsi="Arial" w:cs="Arial"/>
          <w:color w:val="333333"/>
          <w:sz w:val="28"/>
          <w:szCs w:val="28"/>
          <w:lang w:val="es-ES"/>
        </w:rPr>
        <w:t>.</w:t>
      </w:r>
    </w:p>
    <w:p w:rsidR="0074692D" w:rsidRPr="0022418B" w:rsidRDefault="009F5DE5" w:rsidP="0022418B">
      <w:pPr>
        <w:spacing w:line="360" w:lineRule="auto"/>
        <w:jc w:val="both"/>
        <w:rPr>
          <w:rFonts w:ascii="Arial" w:eastAsia="Times New Roman" w:hAnsi="Arial" w:cs="Arial"/>
          <w:color w:val="333333"/>
          <w:sz w:val="28"/>
          <w:szCs w:val="28"/>
          <w:lang w:val="es-ES"/>
        </w:rPr>
      </w:pPr>
      <w:r w:rsidRPr="0022418B">
        <w:rPr>
          <w:rFonts w:ascii="Arial" w:eastAsia="Times New Roman" w:hAnsi="Arial" w:cs="Arial"/>
          <w:color w:val="333333"/>
          <w:sz w:val="28"/>
          <w:szCs w:val="28"/>
          <w:lang w:val="es-ES"/>
        </w:rPr>
        <w:t>Los fluidos newtonianos u homogéneos son los que muestran una viscosidad constante, como el agua, o las soluciones de electrolitos; por el contrario, los fluidos no newtonianos, o heterogéneos, presentan una viscosidad variable, es el caso de la sangre que se modifica dependiendo de las dimensiones del tubo y del tipo de flujo. Cuando la velocidad de la sangre se incrementa la viscosidad disminuye.</w:t>
      </w:r>
    </w:p>
    <w:sectPr w:rsidR="0074692D" w:rsidRPr="002241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E5"/>
    <w:rsid w:val="0022418B"/>
    <w:rsid w:val="0074692D"/>
    <w:rsid w:val="009F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F582"/>
  <w15:chartTrackingRefBased/>
  <w15:docId w15:val="{05DE58E0-EB86-4E55-9CC3-561EFFFB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F5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91778">
      <w:bodyDiv w:val="1"/>
      <w:marLeft w:val="0"/>
      <w:marRight w:val="0"/>
      <w:marTop w:val="0"/>
      <w:marBottom w:val="0"/>
      <w:divBdr>
        <w:top w:val="none" w:sz="0" w:space="0" w:color="auto"/>
        <w:left w:val="none" w:sz="0" w:space="0" w:color="auto"/>
        <w:bottom w:val="none" w:sz="0" w:space="0" w:color="auto"/>
        <w:right w:val="none" w:sz="0" w:space="0" w:color="auto"/>
      </w:divBdr>
    </w:div>
    <w:div w:id="1419449856">
      <w:bodyDiv w:val="1"/>
      <w:marLeft w:val="0"/>
      <w:marRight w:val="0"/>
      <w:marTop w:val="0"/>
      <w:marBottom w:val="0"/>
      <w:divBdr>
        <w:top w:val="none" w:sz="0" w:space="0" w:color="auto"/>
        <w:left w:val="none" w:sz="0" w:space="0" w:color="auto"/>
        <w:bottom w:val="none" w:sz="0" w:space="0" w:color="auto"/>
        <w:right w:val="none" w:sz="0" w:space="0" w:color="auto"/>
      </w:divBdr>
    </w:div>
    <w:div w:id="14673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197</Words>
  <Characters>1129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2021-08-23T22:10:00Z</dcterms:created>
  <dcterms:modified xsi:type="dcterms:W3CDTF">2021-08-23T22:29:00Z</dcterms:modified>
</cp:coreProperties>
</file>