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01B8D" w14:textId="0DBDE079" w:rsidR="006C4974" w:rsidRPr="006C4974" w:rsidRDefault="006C4974" w:rsidP="006C4974">
      <w:pPr>
        <w:pBdr>
          <w:bottom w:val="single" w:sz="6" w:space="0" w:color="A2A9B1"/>
        </w:pBdr>
        <w:shd w:val="clear" w:color="auto" w:fill="FFFFFF"/>
        <w:spacing w:before="240" w:after="60" w:line="240" w:lineRule="auto"/>
        <w:outlineLvl w:val="1"/>
        <w:rPr>
          <w:rFonts w:asciiTheme="majorHAnsi" w:eastAsia="Times New Roman" w:hAnsiTheme="majorHAnsi" w:cstheme="majorHAnsi"/>
          <w:color w:val="000000"/>
          <w:sz w:val="36"/>
          <w:szCs w:val="36"/>
          <w:lang w:eastAsia="es-CO"/>
        </w:rPr>
      </w:pPr>
      <w:r w:rsidRPr="006C4974">
        <w:rPr>
          <w:rFonts w:asciiTheme="majorHAnsi" w:eastAsia="Times New Roman" w:hAnsiTheme="majorHAnsi" w:cstheme="majorHAnsi"/>
          <w:color w:val="000000"/>
          <w:sz w:val="36"/>
          <w:szCs w:val="36"/>
          <w:lang w:eastAsia="es-CO"/>
        </w:rPr>
        <w:t>Antecedentes</w:t>
      </w:r>
    </w:p>
    <w:p w14:paraId="334DEC88" w14:textId="7B9616A8" w:rsidR="006C4974" w:rsidRPr="006C4974" w:rsidRDefault="006C4974" w:rsidP="006C4974">
      <w:pPr>
        <w:shd w:val="clear" w:color="auto" w:fill="FFFFFF"/>
        <w:spacing w:before="120" w:after="120" w:line="240" w:lineRule="auto"/>
        <w:rPr>
          <w:rFonts w:ascii="Arial Rounded MT Bold" w:eastAsia="Times New Roman" w:hAnsi="Arial Rounded MT Bold" w:cs="Arial"/>
          <w:sz w:val="21"/>
          <w:szCs w:val="21"/>
          <w:lang w:eastAsia="es-CO"/>
        </w:rPr>
      </w:pPr>
      <w:r w:rsidRPr="006C4974">
        <w:rPr>
          <w:rFonts w:ascii="Arial Rounded MT Bold" w:eastAsia="Times New Roman" w:hAnsi="Arial Rounded MT Bold" w:cs="Arial"/>
          <w:sz w:val="21"/>
          <w:szCs w:val="21"/>
          <w:lang w:eastAsia="es-CO"/>
        </w:rPr>
        <w:t>El sistema de la hacienda de </w:t>
      </w:r>
      <w:hyperlink r:id="rId5" w:history="1">
        <w:r w:rsidRPr="006C4974">
          <w:rPr>
            <w:rFonts w:ascii="Arial Rounded MT Bold" w:eastAsia="Times New Roman" w:hAnsi="Arial Rounded MT Bold" w:cs="Arial"/>
            <w:sz w:val="21"/>
            <w:szCs w:val="21"/>
            <w:u w:val="single"/>
            <w:lang w:eastAsia="es-CO"/>
          </w:rPr>
          <w:t>Hispanoamérica</w:t>
        </w:r>
      </w:hyperlink>
      <w:r w:rsidRPr="006C4974">
        <w:rPr>
          <w:rFonts w:ascii="Arial Rounded MT Bold" w:eastAsia="Times New Roman" w:hAnsi="Arial Rounded MT Bold" w:cs="Arial"/>
          <w:sz w:val="21"/>
          <w:szCs w:val="21"/>
          <w:lang w:eastAsia="es-CO"/>
        </w:rPr>
        <w:t> se remonta en general a la crisis de la institución de la encomienda y a las </w:t>
      </w:r>
      <w:hyperlink r:id="rId6" w:tooltip="Estancias" w:history="1">
        <w:r w:rsidRPr="006C4974">
          <w:rPr>
            <w:rFonts w:ascii="Arial Rounded MT Bold" w:eastAsia="Times New Roman" w:hAnsi="Arial Rounded MT Bold" w:cs="Arial"/>
            <w:sz w:val="21"/>
            <w:szCs w:val="21"/>
            <w:u w:val="single"/>
            <w:lang w:eastAsia="es-CO"/>
          </w:rPr>
          <w:t>estancias</w:t>
        </w:r>
      </w:hyperlink>
      <w:r w:rsidRPr="006C4974">
        <w:rPr>
          <w:rFonts w:ascii="Arial Rounded MT Bold" w:eastAsia="Times New Roman" w:hAnsi="Arial Rounded MT Bold" w:cs="Arial"/>
          <w:sz w:val="21"/>
          <w:szCs w:val="21"/>
          <w:lang w:eastAsia="es-CO"/>
        </w:rPr>
        <w:t> ganaderas que en casi todas las regiones tuvieron un momento de apogeo en el siglo</w:t>
      </w:r>
      <w:r w:rsidR="00AA3099">
        <w:rPr>
          <w:rFonts w:ascii="Arial Rounded MT Bold" w:eastAsia="Times New Roman" w:hAnsi="Arial Rounded MT Bold" w:cs="Arial"/>
          <w:smallCaps/>
          <w:sz w:val="21"/>
          <w:szCs w:val="21"/>
          <w:lang w:eastAsia="es-CO"/>
        </w:rPr>
        <w:t xml:space="preserve"> 17</w:t>
      </w:r>
      <w:r w:rsidRPr="006C4974">
        <w:rPr>
          <w:rFonts w:ascii="Arial Rounded MT Bold" w:eastAsia="Times New Roman" w:hAnsi="Arial Rounded MT Bold" w:cs="Arial"/>
          <w:sz w:val="21"/>
          <w:szCs w:val="21"/>
          <w:lang w:eastAsia="es-CO"/>
        </w:rPr>
        <w:t>.Así, en algunas parte de </w:t>
      </w:r>
      <w:hyperlink r:id="rId7" w:tooltip="Encomiendas en Nueva España" w:history="1">
        <w:r w:rsidRPr="006C4974">
          <w:rPr>
            <w:rFonts w:ascii="Arial Rounded MT Bold" w:eastAsia="Times New Roman" w:hAnsi="Arial Rounded MT Bold" w:cs="Arial"/>
            <w:sz w:val="21"/>
            <w:szCs w:val="21"/>
            <w:u w:val="single"/>
            <w:lang w:eastAsia="es-CO"/>
          </w:rPr>
          <w:t>Nueva España</w:t>
        </w:r>
      </w:hyperlink>
      <w:r w:rsidRPr="006C4974">
        <w:rPr>
          <w:rFonts w:ascii="Arial Rounded MT Bold" w:eastAsia="Times New Roman" w:hAnsi="Arial Rounded MT Bold" w:cs="Arial"/>
          <w:sz w:val="21"/>
          <w:szCs w:val="21"/>
          <w:lang w:eastAsia="es-CO"/>
        </w:rPr>
        <w:t>, ya a mediados del siglo </w:t>
      </w:r>
      <w:r w:rsidR="00AA3099">
        <w:rPr>
          <w:rFonts w:ascii="Arial Rounded MT Bold" w:eastAsia="Times New Roman" w:hAnsi="Arial Rounded MT Bold" w:cs="Arial"/>
          <w:smallCaps/>
          <w:sz w:val="21"/>
          <w:szCs w:val="21"/>
          <w:lang w:eastAsia="es-CO"/>
        </w:rPr>
        <w:t>16</w:t>
      </w:r>
      <w:r w:rsidRPr="006C4974">
        <w:rPr>
          <w:rFonts w:ascii="Arial Rounded MT Bold" w:eastAsia="Times New Roman" w:hAnsi="Arial Rounded MT Bold" w:cs="Arial"/>
          <w:sz w:val="21"/>
          <w:szCs w:val="21"/>
          <w:lang w:eastAsia="es-CO"/>
        </w:rPr>
        <w:t> se empezó a reemplazar por el sistema del </w:t>
      </w:r>
      <w:hyperlink r:id="rId8" w:tooltip="Repartimiento de indios" w:history="1">
        <w:r w:rsidRPr="006C4974">
          <w:rPr>
            <w:rFonts w:ascii="Arial Rounded MT Bold" w:eastAsia="Times New Roman" w:hAnsi="Arial Rounded MT Bold" w:cs="Arial"/>
            <w:sz w:val="21"/>
            <w:szCs w:val="21"/>
            <w:u w:val="single"/>
            <w:lang w:eastAsia="es-CO"/>
          </w:rPr>
          <w:t>repartimiento de indios</w:t>
        </w:r>
      </w:hyperlink>
      <w:r w:rsidRPr="006C4974">
        <w:rPr>
          <w:rFonts w:ascii="Arial Rounded MT Bold" w:eastAsia="Times New Roman" w:hAnsi="Arial Rounded MT Bold" w:cs="Arial"/>
          <w:sz w:val="21"/>
          <w:szCs w:val="21"/>
          <w:lang w:eastAsia="es-CO"/>
        </w:rPr>
        <w:t>, mientras que en otras se mantuvo hasta fines del siglo </w:t>
      </w:r>
      <w:r w:rsidR="00AA3099">
        <w:rPr>
          <w:rFonts w:ascii="Arial Rounded MT Bold" w:eastAsia="Times New Roman" w:hAnsi="Arial Rounded MT Bold" w:cs="Arial"/>
          <w:smallCaps/>
          <w:sz w:val="21"/>
          <w:szCs w:val="21"/>
          <w:lang w:eastAsia="es-CO"/>
        </w:rPr>
        <w:t>18.</w:t>
      </w:r>
      <w:r w:rsidRPr="006C4974">
        <w:rPr>
          <w:rFonts w:ascii="Arial Rounded MT Bold" w:eastAsia="Times New Roman" w:hAnsi="Arial Rounded MT Bold" w:cs="Arial"/>
          <w:sz w:val="21"/>
          <w:szCs w:val="21"/>
          <w:lang w:eastAsia="es-CO"/>
        </w:rPr>
        <w:t xml:space="preserve"> Ambos sistemas de explotación conllevaban un trabajo </w:t>
      </w:r>
      <w:r w:rsidR="00554734" w:rsidRPr="006C4974">
        <w:rPr>
          <w:rFonts w:ascii="Arial Rounded MT Bold" w:eastAsia="Times New Roman" w:hAnsi="Arial Rounded MT Bold" w:cs="Arial"/>
          <w:sz w:val="21"/>
          <w:szCs w:val="21"/>
          <w:lang w:eastAsia="es-CO"/>
        </w:rPr>
        <w:t>semaforizado</w:t>
      </w:r>
      <w:r w:rsidRPr="006C4974">
        <w:rPr>
          <w:rFonts w:ascii="Arial Rounded MT Bold" w:eastAsia="Times New Roman" w:hAnsi="Arial Rounded MT Bold" w:cs="Arial"/>
          <w:sz w:val="21"/>
          <w:szCs w:val="21"/>
          <w:lang w:eastAsia="es-CO"/>
        </w:rPr>
        <w:t>, con carácter de servicios personales el de la encomienda, y con carácter de adjudicación rotativa de contingentes de trabajadores a determinados empresarios coloniales, el del repartimiento. A fin de poder utilizar a los indios como mano de obra en las incipientes explotaciones agrícolas iniciadas en las tierras provenientes de las </w:t>
      </w:r>
      <w:hyperlink r:id="rId9" w:tooltip="Merced de tierras" w:history="1">
        <w:r w:rsidRPr="006C4974">
          <w:rPr>
            <w:rFonts w:ascii="Arial Rounded MT Bold" w:eastAsia="Times New Roman" w:hAnsi="Arial Rounded MT Bold" w:cs="Arial"/>
            <w:sz w:val="21"/>
            <w:szCs w:val="21"/>
            <w:u w:val="single"/>
            <w:lang w:eastAsia="es-CO"/>
          </w:rPr>
          <w:t>mercedes de tierras</w:t>
        </w:r>
      </w:hyperlink>
      <w:r w:rsidRPr="006C4974">
        <w:rPr>
          <w:rFonts w:ascii="Arial Rounded MT Bold" w:eastAsia="Times New Roman" w:hAnsi="Arial Rounded MT Bold" w:cs="Arial"/>
          <w:sz w:val="21"/>
          <w:szCs w:val="21"/>
          <w:lang w:eastAsia="es-CO"/>
        </w:rPr>
        <w:t>, se comenzó a sacarlos de sus ámbitos de residencia naturales y a trasladarlos a los propios predios. «La estancia, como unidad productiva, surgió de la explotación de las mercedes de tierras, la cual se orientó en un principio a la producción de carnes para satisfacer las necesidades de los españoles.»</w:t>
      </w:r>
      <w:hyperlink r:id="rId10" w:anchor="cite_note-FOOTNOTEValencia_Llano198742-43-3" w:history="1">
        <w:r w:rsidRPr="006C4974">
          <w:rPr>
            <w:rFonts w:ascii="Arial Rounded MT Bold" w:eastAsia="Times New Roman" w:hAnsi="Arial Rounded MT Bold" w:cs="Arial"/>
            <w:sz w:val="21"/>
            <w:szCs w:val="21"/>
            <w:u w:val="single"/>
            <w:vertAlign w:val="superscript"/>
            <w:lang w:eastAsia="es-CO"/>
          </w:rPr>
          <w:t>2</w:t>
        </w:r>
      </w:hyperlink>
      <w:r w:rsidRPr="006C4974">
        <w:rPr>
          <w:rFonts w:ascii="Arial" w:eastAsia="Times New Roman" w:hAnsi="Arial" w:cs="Arial"/>
          <w:sz w:val="21"/>
          <w:szCs w:val="21"/>
          <w:lang w:eastAsia="es-CO"/>
        </w:rPr>
        <w:t>​</w:t>
      </w:r>
      <w:r w:rsidRPr="006C4974">
        <w:rPr>
          <w:rFonts w:ascii="Arial Rounded MT Bold" w:eastAsia="Times New Roman" w:hAnsi="Arial Rounded MT Bold" w:cs="Arial"/>
          <w:sz w:val="21"/>
          <w:szCs w:val="21"/>
          <w:lang w:eastAsia="es-CO"/>
        </w:rPr>
        <w:t xml:space="preserve"> La disminuci</w:t>
      </w:r>
      <w:r w:rsidRPr="006C4974">
        <w:rPr>
          <w:rFonts w:ascii="Arial Rounded MT Bold" w:eastAsia="Times New Roman" w:hAnsi="Arial Rounded MT Bold" w:cs="Arial Rounded MT Bold"/>
          <w:sz w:val="21"/>
          <w:szCs w:val="21"/>
          <w:lang w:eastAsia="es-CO"/>
        </w:rPr>
        <w:t>ó</w:t>
      </w:r>
      <w:r w:rsidRPr="006C4974">
        <w:rPr>
          <w:rFonts w:ascii="Arial Rounded MT Bold" w:eastAsia="Times New Roman" w:hAnsi="Arial Rounded MT Bold" w:cs="Arial"/>
          <w:sz w:val="21"/>
          <w:szCs w:val="21"/>
          <w:lang w:eastAsia="es-CO"/>
        </w:rPr>
        <w:t>n de la poblaci</w:t>
      </w:r>
      <w:r w:rsidRPr="006C4974">
        <w:rPr>
          <w:rFonts w:ascii="Arial Rounded MT Bold" w:eastAsia="Times New Roman" w:hAnsi="Arial Rounded MT Bold" w:cs="Arial Rounded MT Bold"/>
          <w:sz w:val="21"/>
          <w:szCs w:val="21"/>
          <w:lang w:eastAsia="es-CO"/>
        </w:rPr>
        <w:t>ó</w:t>
      </w:r>
      <w:r w:rsidRPr="006C4974">
        <w:rPr>
          <w:rFonts w:ascii="Arial Rounded MT Bold" w:eastAsia="Times New Roman" w:hAnsi="Arial Rounded MT Bold" w:cs="Arial"/>
          <w:sz w:val="21"/>
          <w:szCs w:val="21"/>
          <w:lang w:eastAsia="es-CO"/>
        </w:rPr>
        <w:t>n ind</w:t>
      </w:r>
      <w:r w:rsidRPr="006C4974">
        <w:rPr>
          <w:rFonts w:ascii="Arial Rounded MT Bold" w:eastAsia="Times New Roman" w:hAnsi="Arial Rounded MT Bold" w:cs="Arial Rounded MT Bold"/>
          <w:sz w:val="21"/>
          <w:szCs w:val="21"/>
          <w:lang w:eastAsia="es-CO"/>
        </w:rPr>
        <w:t>í</w:t>
      </w:r>
      <w:r w:rsidRPr="006C4974">
        <w:rPr>
          <w:rFonts w:ascii="Arial Rounded MT Bold" w:eastAsia="Times New Roman" w:hAnsi="Arial Rounded MT Bold" w:cs="Arial"/>
          <w:sz w:val="21"/>
          <w:szCs w:val="21"/>
          <w:lang w:eastAsia="es-CO"/>
        </w:rPr>
        <w:t>gena hab</w:t>
      </w:r>
      <w:r w:rsidRPr="006C4974">
        <w:rPr>
          <w:rFonts w:ascii="Arial Rounded MT Bold" w:eastAsia="Times New Roman" w:hAnsi="Arial Rounded MT Bold" w:cs="Arial Rounded MT Bold"/>
          <w:sz w:val="21"/>
          <w:szCs w:val="21"/>
          <w:lang w:eastAsia="es-CO"/>
        </w:rPr>
        <w:t>í</w:t>
      </w:r>
      <w:r w:rsidRPr="006C4974">
        <w:rPr>
          <w:rFonts w:ascii="Arial Rounded MT Bold" w:eastAsia="Times New Roman" w:hAnsi="Arial Rounded MT Bold" w:cs="Arial"/>
          <w:sz w:val="21"/>
          <w:szCs w:val="21"/>
          <w:lang w:eastAsia="es-CO"/>
        </w:rPr>
        <w:t>a significado una baja en las entradas por tributos para los encomenderos, además de dificultades en el abastecimiento de víveres para las ciudades, lo que llevó a que las encomiendas ya no se utilizaran solo para apropiarse del excedente de producción de los indios, sino que estos se utilizaran regularmente como fuerza de trabajo. Además, obligó paulatinamente a diversificar la producción estanciera, tendiendo en forma gradual a la producción de ganado, cereales, y otros productos de relevancia regional.</w:t>
      </w:r>
      <w:hyperlink r:id="rId11" w:anchor="cite_note-FOOTNOTEValencia_Llano198742-43-3" w:history="1">
        <w:r w:rsidRPr="006C4974">
          <w:rPr>
            <w:rFonts w:ascii="Arial Rounded MT Bold" w:eastAsia="Times New Roman" w:hAnsi="Arial Rounded MT Bold" w:cs="Arial"/>
            <w:sz w:val="21"/>
            <w:szCs w:val="21"/>
            <w:u w:val="single"/>
            <w:vertAlign w:val="superscript"/>
            <w:lang w:eastAsia="es-CO"/>
          </w:rPr>
          <w:t>2</w:t>
        </w:r>
      </w:hyperlink>
      <w:r w:rsidRPr="006C4974">
        <w:rPr>
          <w:rFonts w:ascii="Arial" w:eastAsia="Times New Roman" w:hAnsi="Arial" w:cs="Arial"/>
          <w:sz w:val="21"/>
          <w:szCs w:val="21"/>
          <w:lang w:eastAsia="es-CO"/>
        </w:rPr>
        <w:t>​</w:t>
      </w:r>
      <w:r w:rsidRPr="006C4974">
        <w:rPr>
          <w:rFonts w:ascii="Arial Rounded MT Bold" w:eastAsia="Times New Roman" w:hAnsi="Arial Rounded MT Bold" w:cs="Arial"/>
          <w:sz w:val="21"/>
          <w:szCs w:val="21"/>
          <w:lang w:eastAsia="es-CO"/>
        </w:rPr>
        <w:t xml:space="preserve"> Se iniciaba as</w:t>
      </w:r>
      <w:r w:rsidRPr="006C4974">
        <w:rPr>
          <w:rFonts w:ascii="Arial Rounded MT Bold" w:eastAsia="Times New Roman" w:hAnsi="Arial Rounded MT Bold" w:cs="Arial Rounded MT Bold"/>
          <w:sz w:val="21"/>
          <w:szCs w:val="21"/>
          <w:lang w:eastAsia="es-CO"/>
        </w:rPr>
        <w:t>í</w:t>
      </w:r>
      <w:r w:rsidRPr="006C4974">
        <w:rPr>
          <w:rFonts w:ascii="Arial Rounded MT Bold" w:eastAsia="Times New Roman" w:hAnsi="Arial Rounded MT Bold" w:cs="Arial"/>
          <w:sz w:val="21"/>
          <w:szCs w:val="21"/>
          <w:lang w:eastAsia="es-CO"/>
        </w:rPr>
        <w:t xml:space="preserve"> un largo proceso de transici</w:t>
      </w:r>
      <w:r w:rsidRPr="006C4974">
        <w:rPr>
          <w:rFonts w:ascii="Arial Rounded MT Bold" w:eastAsia="Times New Roman" w:hAnsi="Arial Rounded MT Bold" w:cs="Arial Rounded MT Bold"/>
          <w:sz w:val="21"/>
          <w:szCs w:val="21"/>
          <w:lang w:eastAsia="es-CO"/>
        </w:rPr>
        <w:t>ó</w:t>
      </w:r>
      <w:r w:rsidRPr="006C4974">
        <w:rPr>
          <w:rFonts w:ascii="Arial Rounded MT Bold" w:eastAsia="Times New Roman" w:hAnsi="Arial Rounded MT Bold" w:cs="Arial"/>
          <w:sz w:val="21"/>
          <w:szCs w:val="21"/>
          <w:lang w:eastAsia="es-CO"/>
        </w:rPr>
        <w:t>n desde la estancia hacia la hacienda, caracterizado por la concentraci</w:t>
      </w:r>
      <w:r w:rsidRPr="006C4974">
        <w:rPr>
          <w:rFonts w:ascii="Arial Rounded MT Bold" w:eastAsia="Times New Roman" w:hAnsi="Arial Rounded MT Bold" w:cs="Arial Rounded MT Bold"/>
          <w:sz w:val="21"/>
          <w:szCs w:val="21"/>
          <w:lang w:eastAsia="es-CO"/>
        </w:rPr>
        <w:t>ó</w:t>
      </w:r>
      <w:r w:rsidRPr="006C4974">
        <w:rPr>
          <w:rFonts w:ascii="Arial Rounded MT Bold" w:eastAsia="Times New Roman" w:hAnsi="Arial Rounded MT Bold" w:cs="Arial"/>
          <w:sz w:val="21"/>
          <w:szCs w:val="21"/>
          <w:lang w:eastAsia="es-CO"/>
        </w:rPr>
        <w:t>n de las mejores tierras, el acaparamiento del agua de regad</w:t>
      </w:r>
      <w:r w:rsidRPr="006C4974">
        <w:rPr>
          <w:rFonts w:ascii="Arial Rounded MT Bold" w:eastAsia="Times New Roman" w:hAnsi="Arial Rounded MT Bold" w:cs="Arial Rounded MT Bold"/>
          <w:sz w:val="21"/>
          <w:szCs w:val="21"/>
          <w:lang w:eastAsia="es-CO"/>
        </w:rPr>
        <w:t>í</w:t>
      </w:r>
      <w:r w:rsidRPr="006C4974">
        <w:rPr>
          <w:rFonts w:ascii="Arial Rounded MT Bold" w:eastAsia="Times New Roman" w:hAnsi="Arial Rounded MT Bold" w:cs="Arial"/>
          <w:sz w:val="21"/>
          <w:szCs w:val="21"/>
          <w:lang w:eastAsia="es-CO"/>
        </w:rPr>
        <w:t>o, la sujeción de los indígenas al predio y la utilización de esclavos, principalmente africanos, pero también de entre los «indios de guerra».</w:t>
      </w:r>
      <w:hyperlink r:id="rId12" w:anchor="cite_note-FOOTNOTECoronel_Feijoo199198-99-4" w:history="1">
        <w:r w:rsidRPr="006C4974">
          <w:rPr>
            <w:rFonts w:ascii="Arial Rounded MT Bold" w:eastAsia="Times New Roman" w:hAnsi="Arial Rounded MT Bold" w:cs="Arial"/>
            <w:sz w:val="21"/>
            <w:szCs w:val="21"/>
            <w:u w:val="single"/>
            <w:vertAlign w:val="superscript"/>
            <w:lang w:eastAsia="es-CO"/>
          </w:rPr>
          <w:t>3</w:t>
        </w:r>
      </w:hyperlink>
      <w:r w:rsidRPr="006C4974">
        <w:rPr>
          <w:rFonts w:ascii="Arial" w:eastAsia="Times New Roman" w:hAnsi="Arial" w:cs="Arial"/>
          <w:sz w:val="21"/>
          <w:szCs w:val="21"/>
          <w:lang w:eastAsia="es-CO"/>
        </w:rPr>
        <w:t>​</w:t>
      </w:r>
    </w:p>
    <w:p w14:paraId="4F77DDFE" w14:textId="11D7F50A" w:rsidR="006C4974" w:rsidRPr="006C4974" w:rsidRDefault="006C4974" w:rsidP="006C4974">
      <w:pPr>
        <w:pBdr>
          <w:bottom w:val="single" w:sz="6" w:space="0" w:color="A2A9B1"/>
        </w:pBdr>
        <w:shd w:val="clear" w:color="auto" w:fill="FFFFFF"/>
        <w:spacing w:before="240" w:after="60" w:line="240" w:lineRule="auto"/>
        <w:outlineLvl w:val="1"/>
        <w:rPr>
          <w:rFonts w:asciiTheme="majorHAnsi" w:eastAsia="Times New Roman" w:hAnsiTheme="majorHAnsi" w:cstheme="majorHAnsi"/>
          <w:color w:val="000000"/>
          <w:sz w:val="36"/>
          <w:szCs w:val="36"/>
          <w:lang w:eastAsia="es-CO"/>
        </w:rPr>
      </w:pPr>
      <w:r w:rsidRPr="006C4974">
        <w:rPr>
          <w:rFonts w:asciiTheme="majorHAnsi" w:eastAsia="Times New Roman" w:hAnsiTheme="majorHAnsi" w:cstheme="majorHAnsi"/>
          <w:color w:val="000000"/>
          <w:sz w:val="36"/>
          <w:szCs w:val="36"/>
          <w:lang w:eastAsia="es-CO"/>
        </w:rPr>
        <w:t>Historia</w:t>
      </w:r>
    </w:p>
    <w:p w14:paraId="448C4924" w14:textId="652D2E58" w:rsidR="006C4974" w:rsidRPr="006C4974" w:rsidRDefault="006C4974" w:rsidP="006C4974">
      <w:pPr>
        <w:shd w:val="clear" w:color="auto" w:fill="FFFFFF"/>
        <w:spacing w:before="120" w:after="120" w:line="240" w:lineRule="auto"/>
        <w:rPr>
          <w:rFonts w:ascii="Arial Rounded MT Bold" w:eastAsia="Times New Roman" w:hAnsi="Arial Rounded MT Bold" w:cs="Arial"/>
          <w:sz w:val="21"/>
          <w:szCs w:val="21"/>
          <w:lang w:eastAsia="es-CO"/>
        </w:rPr>
      </w:pPr>
      <w:r w:rsidRPr="006C4974">
        <w:rPr>
          <w:rFonts w:ascii="Arial Rounded MT Bold" w:eastAsia="Times New Roman" w:hAnsi="Arial Rounded MT Bold" w:cs="Arial"/>
          <w:sz w:val="21"/>
          <w:szCs w:val="21"/>
          <w:lang w:eastAsia="es-CO"/>
        </w:rPr>
        <w:t>La hacienda era una propiedad agrícola operada por un terrateniente que dirige y una fuerza de trabajo que le está supeditada, organizada para aprovisionar un mercado de pequeña escala por medio de un capital pequeño, y donde los factores de producción se emplean no sólo para la acumulación de capital; sino también para sustentar las aspiraciones del </w:t>
      </w:r>
      <w:r w:rsidRPr="006C4974">
        <w:rPr>
          <w:rFonts w:ascii="Arial Rounded MT Bold" w:eastAsia="Times New Roman" w:hAnsi="Arial Rounded MT Bold" w:cs="Arial"/>
          <w:i/>
          <w:iCs/>
          <w:sz w:val="21"/>
          <w:szCs w:val="21"/>
          <w:lang w:eastAsia="es-CO"/>
        </w:rPr>
        <w:t>status</w:t>
      </w:r>
      <w:r w:rsidRPr="006C4974">
        <w:rPr>
          <w:rFonts w:ascii="Arial Rounded MT Bold" w:eastAsia="Times New Roman" w:hAnsi="Arial Rounded MT Bold" w:cs="Arial"/>
          <w:sz w:val="21"/>
          <w:szCs w:val="21"/>
          <w:lang w:eastAsia="es-CO"/>
        </w:rPr>
        <w:t xml:space="preserve"> del </w:t>
      </w:r>
      <w:r w:rsidR="00554734" w:rsidRPr="006C4974">
        <w:rPr>
          <w:rFonts w:ascii="Arial Rounded MT Bold" w:eastAsia="Times New Roman" w:hAnsi="Arial Rounded MT Bold" w:cs="Arial"/>
          <w:sz w:val="21"/>
          <w:szCs w:val="21"/>
          <w:lang w:eastAsia="es-CO"/>
        </w:rPr>
        <w:t>propietario”. Sin</w:t>
      </w:r>
      <w:r w:rsidRPr="006C4974">
        <w:rPr>
          <w:rFonts w:ascii="Arial Rounded MT Bold" w:eastAsia="Times New Roman" w:hAnsi="Arial Rounded MT Bold" w:cs="Arial"/>
          <w:sz w:val="21"/>
          <w:szCs w:val="21"/>
          <w:lang w:eastAsia="es-CO"/>
        </w:rPr>
        <w:t xml:space="preserve"> perjuicio de esta definición clásica, en ciertas regiones y determinados períodos, la producción </w:t>
      </w:r>
      <w:r w:rsidR="00554734" w:rsidRPr="006C4974">
        <w:rPr>
          <w:rFonts w:ascii="Arial Rounded MT Bold" w:eastAsia="Times New Roman" w:hAnsi="Arial Rounded MT Bold" w:cs="Arial"/>
          <w:sz w:val="21"/>
          <w:szCs w:val="21"/>
          <w:lang w:eastAsia="es-CO"/>
        </w:rPr>
        <w:t>hacendar</w:t>
      </w:r>
      <w:r w:rsidRPr="006C4974">
        <w:rPr>
          <w:rFonts w:ascii="Arial Rounded MT Bold" w:eastAsia="Times New Roman" w:hAnsi="Arial Rounded MT Bold" w:cs="Arial"/>
          <w:sz w:val="21"/>
          <w:szCs w:val="21"/>
          <w:lang w:eastAsia="es-CO"/>
        </w:rPr>
        <w:t xml:space="preserve"> bien podía estar orientada principalmente a la exportación, como asimismo el aspecto del </w:t>
      </w:r>
      <w:hyperlink r:id="rId13" w:tooltip="Estatus social" w:history="1">
        <w:r w:rsidRPr="006C4974">
          <w:rPr>
            <w:rFonts w:ascii="Arial Rounded MT Bold" w:eastAsia="Times New Roman" w:hAnsi="Arial Rounded MT Bold" w:cs="Arial"/>
            <w:sz w:val="21"/>
            <w:szCs w:val="21"/>
            <w:u w:val="single"/>
            <w:lang w:eastAsia="es-CO"/>
          </w:rPr>
          <w:t>estatus social</w:t>
        </w:r>
      </w:hyperlink>
      <w:r w:rsidRPr="006C4974">
        <w:rPr>
          <w:rFonts w:ascii="Arial Rounded MT Bold" w:eastAsia="Times New Roman" w:hAnsi="Arial Rounded MT Bold" w:cs="Arial"/>
          <w:sz w:val="21"/>
          <w:szCs w:val="21"/>
          <w:lang w:eastAsia="es-CO"/>
        </w:rPr>
        <w:t xml:space="preserve"> podía estar notoriamente ausente, como en el caso de las posesiones </w:t>
      </w:r>
      <w:r w:rsidR="00554734" w:rsidRPr="006C4974">
        <w:rPr>
          <w:rFonts w:ascii="Arial Rounded MT Bold" w:eastAsia="Times New Roman" w:hAnsi="Arial Rounded MT Bold" w:cs="Arial"/>
          <w:sz w:val="21"/>
          <w:szCs w:val="21"/>
          <w:lang w:eastAsia="es-CO"/>
        </w:rPr>
        <w:t>eclesiásticas. Del</w:t>
      </w:r>
      <w:r w:rsidRPr="006C4974">
        <w:rPr>
          <w:rFonts w:ascii="Arial Rounded MT Bold" w:eastAsia="Times New Roman" w:hAnsi="Arial Rounded MT Bold" w:cs="Arial"/>
          <w:sz w:val="21"/>
          <w:szCs w:val="21"/>
          <w:lang w:eastAsia="es-CO"/>
        </w:rPr>
        <w:t xml:space="preserve"> mismo modo, en ciertas regiones y determinados períodos, la economía de la hacienda exhibió rasgos de </w:t>
      </w:r>
      <w:hyperlink r:id="rId14" w:tooltip="Autarquía" w:history="1">
        <w:r w:rsidRPr="006C4974">
          <w:rPr>
            <w:rFonts w:ascii="Arial Rounded MT Bold" w:eastAsia="Times New Roman" w:hAnsi="Arial Rounded MT Bold" w:cs="Arial"/>
            <w:sz w:val="21"/>
            <w:szCs w:val="21"/>
            <w:u w:val="single"/>
            <w:lang w:eastAsia="es-CO"/>
          </w:rPr>
          <w:t>autarquía</w:t>
        </w:r>
      </w:hyperlink>
      <w:r w:rsidRPr="006C4974">
        <w:rPr>
          <w:rFonts w:ascii="Arial Rounded MT Bold" w:eastAsia="Times New Roman" w:hAnsi="Arial Rounded MT Bold" w:cs="Arial"/>
          <w:sz w:val="21"/>
          <w:szCs w:val="21"/>
          <w:lang w:eastAsia="es-CO"/>
        </w:rPr>
        <w:t> o «economía cerrada», en todo lo que podía proveer y que no tocara a sus productos principales. En estos casos, las haciendas se constituyeron «como unidades productivas abiertas orientadas hacia una economía de mercado y al mismo tiempo como unidades productivas cerradas al beneficiarse.</w:t>
      </w:r>
    </w:p>
    <w:p w14:paraId="54DECB2F" w14:textId="53B62C3B" w:rsidR="006C4974" w:rsidRDefault="006C4974" w:rsidP="006C4974">
      <w:pPr>
        <w:shd w:val="clear" w:color="auto" w:fill="FFFFFF"/>
        <w:spacing w:before="120" w:after="120" w:line="240" w:lineRule="auto"/>
        <w:rPr>
          <w:rFonts w:ascii="Arial Rounded MT Bold" w:eastAsia="Times New Roman" w:hAnsi="Arial Rounded MT Bold" w:cs="Arial"/>
          <w:sz w:val="21"/>
          <w:szCs w:val="21"/>
          <w:lang w:eastAsia="es-CO"/>
        </w:rPr>
      </w:pPr>
      <w:r w:rsidRPr="006C4974">
        <w:rPr>
          <w:rFonts w:ascii="Arial Rounded MT Bold" w:eastAsia="Times New Roman" w:hAnsi="Arial Rounded MT Bold" w:cs="Arial"/>
          <w:sz w:val="21"/>
          <w:szCs w:val="21"/>
          <w:lang w:eastAsia="es-CO"/>
        </w:rPr>
        <w:t xml:space="preserve">La hacienda tuvo su origen en la sustitución del tributo en especies, como forma de aprovisionamiento de los colonos, por una producción específica destinada a satisfacer las necesidades de los europeos, así como de la propia fuerza laboral agrícola, ganadera y minera. Ciertas órdenes religiosas, como los mercedarios y los jesuitas, desempeñaron un papel destacado en el perfeccionamiento de este tipo de organización económica. En la hacienda se emplearon diferentes formas de mano de obra, combinando la fuerza de trabajo esclava, los restos del régimen </w:t>
      </w:r>
      <w:r w:rsidRPr="006C4974">
        <w:rPr>
          <w:rFonts w:ascii="Arial Rounded MT Bold" w:eastAsia="Times New Roman" w:hAnsi="Arial Rounded MT Bold" w:cs="Arial"/>
          <w:sz w:val="21"/>
          <w:szCs w:val="21"/>
          <w:lang w:eastAsia="es-CO"/>
        </w:rPr>
        <w:lastRenderedPageBreak/>
        <w:t>de </w:t>
      </w:r>
      <w:hyperlink r:id="rId15" w:tooltip="Repartimiento de indios" w:history="1">
        <w:r w:rsidRPr="006C4974">
          <w:rPr>
            <w:rFonts w:ascii="Arial Rounded MT Bold" w:eastAsia="Times New Roman" w:hAnsi="Arial Rounded MT Bold" w:cs="Arial"/>
            <w:sz w:val="21"/>
            <w:szCs w:val="21"/>
            <w:u w:val="single"/>
            <w:lang w:eastAsia="es-CO"/>
          </w:rPr>
          <w:t>repartimiento</w:t>
        </w:r>
      </w:hyperlink>
      <w:r w:rsidRPr="006C4974">
        <w:rPr>
          <w:rFonts w:ascii="Arial Rounded MT Bold" w:eastAsia="Times New Roman" w:hAnsi="Arial Rounded MT Bold" w:cs="Arial"/>
          <w:sz w:val="21"/>
          <w:szCs w:val="21"/>
          <w:lang w:eastAsia="es-CO"/>
        </w:rPr>
        <w:t>, mano de obra asalariada libre (</w:t>
      </w:r>
      <w:hyperlink r:id="rId16" w:tooltip="Peonaje" w:history="1">
        <w:r w:rsidRPr="006C4974">
          <w:rPr>
            <w:rFonts w:ascii="Arial Rounded MT Bold" w:eastAsia="Times New Roman" w:hAnsi="Arial Rounded MT Bold" w:cs="Arial"/>
            <w:sz w:val="21"/>
            <w:szCs w:val="21"/>
            <w:u w:val="single"/>
            <w:lang w:eastAsia="es-CO"/>
          </w:rPr>
          <w:t>peonaje</w:t>
        </w:r>
      </w:hyperlink>
      <w:r w:rsidRPr="006C4974">
        <w:rPr>
          <w:rFonts w:ascii="Arial Rounded MT Bold" w:eastAsia="Times New Roman" w:hAnsi="Arial Rounded MT Bold" w:cs="Arial"/>
          <w:sz w:val="21"/>
          <w:szCs w:val="21"/>
          <w:lang w:eastAsia="es-CO"/>
        </w:rPr>
        <w:t>), así como diferentes tratos de arriendo (</w:t>
      </w:r>
      <w:hyperlink r:id="rId17" w:tooltip="Inquilinaje" w:history="1">
        <w:r w:rsidRPr="006C4974">
          <w:rPr>
            <w:rFonts w:ascii="Arial Rounded MT Bold" w:eastAsia="Times New Roman" w:hAnsi="Arial Rounded MT Bold" w:cs="Arial"/>
            <w:sz w:val="21"/>
            <w:szCs w:val="21"/>
            <w:u w:val="single"/>
            <w:lang w:eastAsia="es-CO"/>
          </w:rPr>
          <w:t>inquilinaje</w:t>
        </w:r>
      </w:hyperlink>
      <w:r w:rsidRPr="006C4974">
        <w:rPr>
          <w:rFonts w:ascii="Arial Rounded MT Bold" w:eastAsia="Times New Roman" w:hAnsi="Arial Rounded MT Bold" w:cs="Arial"/>
          <w:sz w:val="21"/>
          <w:szCs w:val="21"/>
          <w:lang w:eastAsia="es-CO"/>
        </w:rPr>
        <w:t>) y de </w:t>
      </w:r>
      <w:hyperlink r:id="rId18" w:tooltip="Aparcería" w:history="1">
        <w:r w:rsidRPr="006C4974">
          <w:rPr>
            <w:rFonts w:ascii="Arial Rounded MT Bold" w:eastAsia="Times New Roman" w:hAnsi="Arial Rounded MT Bold" w:cs="Arial"/>
            <w:sz w:val="21"/>
            <w:szCs w:val="21"/>
            <w:u w:val="single"/>
            <w:lang w:eastAsia="es-CO"/>
          </w:rPr>
          <w:t>aparcería</w:t>
        </w:r>
      </w:hyperlink>
      <w:r w:rsidR="00554734">
        <w:rPr>
          <w:rFonts w:ascii="Arial Rounded MT Bold" w:eastAsia="Times New Roman" w:hAnsi="Arial Rounded MT Bold" w:cs="Arial"/>
          <w:sz w:val="21"/>
          <w:szCs w:val="21"/>
          <w:lang w:eastAsia="es-CO"/>
        </w:rPr>
        <w:t>.</w:t>
      </w:r>
    </w:p>
    <w:p w14:paraId="0ECBAF4D" w14:textId="3710C49C" w:rsidR="00554734" w:rsidRDefault="00554734" w:rsidP="006C4974">
      <w:pPr>
        <w:shd w:val="clear" w:color="auto" w:fill="FFFFFF"/>
        <w:spacing w:before="120" w:after="120" w:line="240" w:lineRule="auto"/>
        <w:rPr>
          <w:rFonts w:ascii="Arial Rounded MT Bold" w:eastAsia="Times New Roman" w:hAnsi="Arial Rounded MT Bold" w:cs="Arial"/>
          <w:sz w:val="21"/>
          <w:szCs w:val="21"/>
          <w:lang w:eastAsia="es-CO"/>
        </w:rPr>
      </w:pPr>
    </w:p>
    <w:p w14:paraId="76856069" w14:textId="145A5DBA" w:rsidR="003D558C" w:rsidRPr="003D558C" w:rsidRDefault="003D558C" w:rsidP="003D558C">
      <w:pPr>
        <w:shd w:val="clear" w:color="auto" w:fill="FFFFFF"/>
        <w:spacing w:before="120" w:after="120" w:line="240" w:lineRule="auto"/>
        <w:rPr>
          <w:rFonts w:ascii="Arial Rounded MT Bold" w:eastAsia="Times New Roman" w:hAnsi="Arial Rounded MT Bold" w:cs="Arial"/>
          <w:color w:val="202122"/>
          <w:sz w:val="21"/>
          <w:szCs w:val="21"/>
          <w:lang w:eastAsia="es-CO"/>
        </w:rPr>
      </w:pPr>
      <w:r w:rsidRPr="003D558C">
        <w:rPr>
          <w:rFonts w:ascii="Arial Rounded MT Bold" w:eastAsia="Times New Roman" w:hAnsi="Arial Rounded MT Bold" w:cs="Arial"/>
          <w:color w:val="202122"/>
          <w:sz w:val="21"/>
          <w:szCs w:val="21"/>
          <w:lang w:eastAsia="es-CO"/>
        </w:rPr>
        <w:t xml:space="preserve">¿Cuáles eran las principales instituciones </w:t>
      </w:r>
      <w:r w:rsidRPr="003D558C">
        <w:rPr>
          <w:rFonts w:ascii="Arial Rounded MT Bold" w:eastAsia="Times New Roman" w:hAnsi="Arial Rounded MT Bold" w:cs="Arial"/>
          <w:color w:val="202122"/>
          <w:sz w:val="21"/>
          <w:szCs w:val="21"/>
          <w:lang w:eastAsia="es-CO"/>
        </w:rPr>
        <w:t>económicas</w:t>
      </w:r>
      <w:r w:rsidRPr="003D558C">
        <w:rPr>
          <w:rFonts w:ascii="Arial Rounded MT Bold" w:eastAsia="Times New Roman" w:hAnsi="Arial Rounded MT Bold" w:cs="Arial"/>
          <w:color w:val="202122"/>
          <w:sz w:val="21"/>
          <w:szCs w:val="21"/>
          <w:lang w:eastAsia="es-CO"/>
        </w:rPr>
        <w:t xml:space="preserve"> de la colonia?</w:t>
      </w:r>
    </w:p>
    <w:p w14:paraId="75D081AB" w14:textId="77777777" w:rsidR="003D558C" w:rsidRPr="003D558C" w:rsidRDefault="003D558C" w:rsidP="003D558C">
      <w:pPr>
        <w:shd w:val="clear" w:color="auto" w:fill="FFFFFF"/>
        <w:spacing w:before="120" w:after="120" w:line="240" w:lineRule="auto"/>
        <w:rPr>
          <w:rFonts w:ascii="Arial Rounded MT Bold" w:eastAsia="Times New Roman" w:hAnsi="Arial Rounded MT Bold" w:cs="Arial"/>
          <w:color w:val="202122"/>
          <w:sz w:val="21"/>
          <w:szCs w:val="21"/>
          <w:lang w:eastAsia="es-CO"/>
        </w:rPr>
      </w:pPr>
      <w:r w:rsidRPr="003D558C">
        <w:rPr>
          <w:rFonts w:ascii="Arial Rounded MT Bold" w:eastAsia="Times New Roman" w:hAnsi="Arial Rounded MT Bold" w:cs="Arial"/>
          <w:color w:val="202122"/>
          <w:sz w:val="21"/>
          <w:szCs w:val="21"/>
          <w:lang w:eastAsia="es-CO"/>
        </w:rPr>
        <w:t>Instituciones económicas.</w:t>
      </w:r>
    </w:p>
    <w:p w14:paraId="5B0B821E" w14:textId="77777777" w:rsidR="003D558C" w:rsidRPr="003D558C" w:rsidRDefault="003D558C" w:rsidP="003D558C">
      <w:pPr>
        <w:shd w:val="clear" w:color="auto" w:fill="FFFFFF"/>
        <w:spacing w:before="120" w:after="120" w:line="240" w:lineRule="auto"/>
        <w:rPr>
          <w:rFonts w:ascii="Arial Rounded MT Bold" w:eastAsia="Times New Roman" w:hAnsi="Arial Rounded MT Bold" w:cs="Arial"/>
          <w:color w:val="202122"/>
          <w:sz w:val="21"/>
          <w:szCs w:val="21"/>
          <w:lang w:eastAsia="es-CO"/>
        </w:rPr>
      </w:pPr>
      <w:r w:rsidRPr="003D558C">
        <w:rPr>
          <w:rFonts w:ascii="Arial Rounded MT Bold" w:eastAsia="Times New Roman" w:hAnsi="Arial Rounded MT Bold" w:cs="Arial"/>
          <w:color w:val="202122"/>
          <w:sz w:val="21"/>
          <w:szCs w:val="21"/>
          <w:lang w:eastAsia="es-CO"/>
        </w:rPr>
        <w:t>Tribunal de Consulado: ...</w:t>
      </w:r>
    </w:p>
    <w:p w14:paraId="638BA29F" w14:textId="77777777" w:rsidR="003D558C" w:rsidRPr="003D558C" w:rsidRDefault="003D558C" w:rsidP="003D558C">
      <w:pPr>
        <w:shd w:val="clear" w:color="auto" w:fill="FFFFFF"/>
        <w:spacing w:before="120" w:after="120" w:line="240" w:lineRule="auto"/>
        <w:rPr>
          <w:rFonts w:ascii="Arial Rounded MT Bold" w:eastAsia="Times New Roman" w:hAnsi="Arial Rounded MT Bold" w:cs="Arial"/>
          <w:color w:val="202122"/>
          <w:sz w:val="21"/>
          <w:szCs w:val="21"/>
          <w:lang w:eastAsia="es-CO"/>
        </w:rPr>
      </w:pPr>
      <w:r w:rsidRPr="003D558C">
        <w:rPr>
          <w:rFonts w:ascii="Arial Rounded MT Bold" w:eastAsia="Times New Roman" w:hAnsi="Arial Rounded MT Bold" w:cs="Arial"/>
          <w:color w:val="202122"/>
          <w:sz w:val="21"/>
          <w:szCs w:val="21"/>
          <w:lang w:eastAsia="es-CO"/>
        </w:rPr>
        <w:t>Impuestos coloniales:</w:t>
      </w:r>
    </w:p>
    <w:p w14:paraId="7EEA92E9" w14:textId="78A66018" w:rsidR="003D558C" w:rsidRPr="003D558C" w:rsidRDefault="003D558C" w:rsidP="003D558C">
      <w:pPr>
        <w:shd w:val="clear" w:color="auto" w:fill="FFFFFF"/>
        <w:spacing w:before="120" w:after="120" w:line="240" w:lineRule="auto"/>
        <w:rPr>
          <w:rFonts w:ascii="Arial Rounded MT Bold" w:eastAsia="Times New Roman" w:hAnsi="Arial Rounded MT Bold" w:cs="Arial"/>
          <w:color w:val="202122"/>
          <w:sz w:val="21"/>
          <w:szCs w:val="21"/>
          <w:lang w:eastAsia="es-CO"/>
        </w:rPr>
      </w:pPr>
      <w:r w:rsidRPr="003D558C">
        <w:rPr>
          <w:rFonts w:ascii="Arial Rounded MT Bold" w:eastAsia="Times New Roman" w:hAnsi="Arial Rounded MT Bold" w:cs="Arial"/>
          <w:color w:val="202122"/>
          <w:sz w:val="21"/>
          <w:szCs w:val="21"/>
          <w:lang w:eastAsia="es-CO"/>
        </w:rPr>
        <w:t xml:space="preserve">La alcabala: Gravaba </w:t>
      </w:r>
      <w:r w:rsidRPr="003D558C">
        <w:rPr>
          <w:rFonts w:ascii="Arial Rounded MT Bold" w:eastAsia="Times New Roman" w:hAnsi="Arial Rounded MT Bold" w:cs="Arial"/>
          <w:color w:val="202122"/>
          <w:sz w:val="21"/>
          <w:szCs w:val="21"/>
          <w:lang w:eastAsia="es-CO"/>
        </w:rPr>
        <w:t>todas las operaciones</w:t>
      </w:r>
      <w:r w:rsidRPr="003D558C">
        <w:rPr>
          <w:rFonts w:ascii="Arial Rounded MT Bold" w:eastAsia="Times New Roman" w:hAnsi="Arial Rounded MT Bold" w:cs="Arial"/>
          <w:color w:val="202122"/>
          <w:sz w:val="21"/>
          <w:szCs w:val="21"/>
          <w:lang w:eastAsia="es-CO"/>
        </w:rPr>
        <w:t xml:space="preserve"> de compra-venta. ...</w:t>
      </w:r>
    </w:p>
    <w:p w14:paraId="195371E3" w14:textId="0812FD18" w:rsidR="00554734" w:rsidRPr="006C4974" w:rsidRDefault="003D558C" w:rsidP="003D558C">
      <w:pPr>
        <w:shd w:val="clear" w:color="auto" w:fill="FFFFFF"/>
        <w:spacing w:before="120" w:after="120" w:line="240" w:lineRule="auto"/>
        <w:rPr>
          <w:rFonts w:ascii="Arial Rounded MT Bold" w:eastAsia="Times New Roman" w:hAnsi="Arial Rounded MT Bold" w:cs="Arial"/>
          <w:color w:val="202122"/>
          <w:sz w:val="21"/>
          <w:szCs w:val="21"/>
          <w:lang w:eastAsia="es-CO"/>
        </w:rPr>
      </w:pPr>
      <w:r w:rsidRPr="003D558C">
        <w:rPr>
          <w:rFonts w:ascii="Arial Rounded MT Bold" w:eastAsia="Times New Roman" w:hAnsi="Arial Rounded MT Bold" w:cs="Arial"/>
          <w:color w:val="202122"/>
          <w:sz w:val="21"/>
          <w:szCs w:val="21"/>
          <w:lang w:eastAsia="es-CO"/>
        </w:rPr>
        <w:t>Almojarifazgo: Derecho aduanero que consistía en el pago de un impuesto que iba entre el 2,5 hasta el 7% de los productos que entraban y salían del virreinato.</w:t>
      </w:r>
    </w:p>
    <w:sectPr w:rsidR="00554734" w:rsidRPr="006C49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C8E"/>
    <w:multiLevelType w:val="multilevel"/>
    <w:tmpl w:val="B6C4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14549"/>
    <w:multiLevelType w:val="multilevel"/>
    <w:tmpl w:val="927A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137846"/>
    <w:multiLevelType w:val="multilevel"/>
    <w:tmpl w:val="DD68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0D0C5C"/>
    <w:multiLevelType w:val="multilevel"/>
    <w:tmpl w:val="A150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5B2030"/>
    <w:multiLevelType w:val="multilevel"/>
    <w:tmpl w:val="EE3E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974"/>
    <w:rsid w:val="003D558C"/>
    <w:rsid w:val="004B5AC1"/>
    <w:rsid w:val="00554734"/>
    <w:rsid w:val="006C4974"/>
    <w:rsid w:val="00AA30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7BE77"/>
  <w15:chartTrackingRefBased/>
  <w15:docId w15:val="{BE15F74A-06B9-4A62-A1FF-B1CD0576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6C4974"/>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6C4974"/>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link w:val="Ttulo4Car"/>
    <w:uiPriority w:val="9"/>
    <w:qFormat/>
    <w:rsid w:val="006C4974"/>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C4974"/>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6C4974"/>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uiPriority w:val="9"/>
    <w:rsid w:val="006C4974"/>
    <w:rPr>
      <w:rFonts w:ascii="Times New Roman" w:eastAsia="Times New Roman" w:hAnsi="Times New Roman" w:cs="Times New Roman"/>
      <w:b/>
      <w:bCs/>
      <w:sz w:val="24"/>
      <w:szCs w:val="24"/>
      <w:lang w:eastAsia="es-CO"/>
    </w:rPr>
  </w:style>
  <w:style w:type="paragraph" w:customStyle="1" w:styleId="msonormal0">
    <w:name w:val="msonormal"/>
    <w:basedOn w:val="Normal"/>
    <w:rsid w:val="006C497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w-headline">
    <w:name w:val="mw-headline"/>
    <w:basedOn w:val="Fuentedeprrafopredeter"/>
    <w:rsid w:val="006C4974"/>
  </w:style>
  <w:style w:type="character" w:customStyle="1" w:styleId="mw-editsection">
    <w:name w:val="mw-editsection"/>
    <w:basedOn w:val="Fuentedeprrafopredeter"/>
    <w:rsid w:val="006C4974"/>
  </w:style>
  <w:style w:type="character" w:customStyle="1" w:styleId="mw-editsection-bracket">
    <w:name w:val="mw-editsection-bracket"/>
    <w:basedOn w:val="Fuentedeprrafopredeter"/>
    <w:rsid w:val="006C4974"/>
  </w:style>
  <w:style w:type="character" w:styleId="Hipervnculo">
    <w:name w:val="Hyperlink"/>
    <w:basedOn w:val="Fuentedeprrafopredeter"/>
    <w:uiPriority w:val="99"/>
    <w:semiHidden/>
    <w:unhideWhenUsed/>
    <w:rsid w:val="006C4974"/>
    <w:rPr>
      <w:color w:val="0000FF"/>
      <w:u w:val="single"/>
    </w:rPr>
  </w:style>
  <w:style w:type="character" w:styleId="Hipervnculovisitado">
    <w:name w:val="FollowedHyperlink"/>
    <w:basedOn w:val="Fuentedeprrafopredeter"/>
    <w:uiPriority w:val="99"/>
    <w:semiHidden/>
    <w:unhideWhenUsed/>
    <w:rsid w:val="006C4974"/>
    <w:rPr>
      <w:color w:val="800080"/>
      <w:u w:val="single"/>
    </w:rPr>
  </w:style>
  <w:style w:type="paragraph" w:styleId="NormalWeb">
    <w:name w:val="Normal (Web)"/>
    <w:basedOn w:val="Normal"/>
    <w:uiPriority w:val="99"/>
    <w:semiHidden/>
    <w:unhideWhenUsed/>
    <w:rsid w:val="006C497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31083">
      <w:bodyDiv w:val="1"/>
      <w:marLeft w:val="0"/>
      <w:marRight w:val="0"/>
      <w:marTop w:val="0"/>
      <w:marBottom w:val="0"/>
      <w:divBdr>
        <w:top w:val="none" w:sz="0" w:space="0" w:color="auto"/>
        <w:left w:val="none" w:sz="0" w:space="0" w:color="auto"/>
        <w:bottom w:val="none" w:sz="0" w:space="0" w:color="auto"/>
        <w:right w:val="none" w:sz="0" w:space="0" w:color="auto"/>
      </w:divBdr>
      <w:divsChild>
        <w:div w:id="1654869225">
          <w:marLeft w:val="336"/>
          <w:marRight w:val="0"/>
          <w:marTop w:val="120"/>
          <w:marBottom w:val="312"/>
          <w:divBdr>
            <w:top w:val="none" w:sz="0" w:space="0" w:color="auto"/>
            <w:left w:val="none" w:sz="0" w:space="0" w:color="auto"/>
            <w:bottom w:val="none" w:sz="0" w:space="0" w:color="auto"/>
            <w:right w:val="none" w:sz="0" w:space="0" w:color="auto"/>
          </w:divBdr>
          <w:divsChild>
            <w:div w:id="4944176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09690657">
          <w:marLeft w:val="0"/>
          <w:marRight w:val="0"/>
          <w:marTop w:val="0"/>
          <w:marBottom w:val="120"/>
          <w:divBdr>
            <w:top w:val="none" w:sz="0" w:space="0" w:color="auto"/>
            <w:left w:val="none" w:sz="0" w:space="0" w:color="auto"/>
            <w:bottom w:val="none" w:sz="0" w:space="0" w:color="auto"/>
            <w:right w:val="none" w:sz="0" w:space="0" w:color="auto"/>
          </w:divBdr>
        </w:div>
        <w:div w:id="243729280">
          <w:marLeft w:val="336"/>
          <w:marRight w:val="0"/>
          <w:marTop w:val="120"/>
          <w:marBottom w:val="312"/>
          <w:divBdr>
            <w:top w:val="none" w:sz="0" w:space="0" w:color="auto"/>
            <w:left w:val="none" w:sz="0" w:space="0" w:color="auto"/>
            <w:bottom w:val="none" w:sz="0" w:space="0" w:color="auto"/>
            <w:right w:val="none" w:sz="0" w:space="0" w:color="auto"/>
          </w:divBdr>
          <w:divsChild>
            <w:div w:id="52456305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0968043">
          <w:marLeft w:val="336"/>
          <w:marRight w:val="0"/>
          <w:marTop w:val="120"/>
          <w:marBottom w:val="312"/>
          <w:divBdr>
            <w:top w:val="none" w:sz="0" w:space="0" w:color="auto"/>
            <w:left w:val="none" w:sz="0" w:space="0" w:color="auto"/>
            <w:bottom w:val="none" w:sz="0" w:space="0" w:color="auto"/>
            <w:right w:val="none" w:sz="0" w:space="0" w:color="auto"/>
          </w:divBdr>
          <w:divsChild>
            <w:div w:id="13197683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68838574">
          <w:marLeft w:val="0"/>
          <w:marRight w:val="0"/>
          <w:marTop w:val="0"/>
          <w:marBottom w:val="0"/>
          <w:divBdr>
            <w:top w:val="none" w:sz="0" w:space="0" w:color="auto"/>
            <w:left w:val="none" w:sz="0" w:space="0" w:color="auto"/>
            <w:bottom w:val="none" w:sz="0" w:space="0" w:color="auto"/>
            <w:right w:val="none" w:sz="0" w:space="0" w:color="auto"/>
          </w:divBdr>
        </w:div>
        <w:div w:id="1422143268">
          <w:marLeft w:val="0"/>
          <w:marRight w:val="0"/>
          <w:marTop w:val="0"/>
          <w:marBottom w:val="0"/>
          <w:divBdr>
            <w:top w:val="none" w:sz="0" w:space="0" w:color="auto"/>
            <w:left w:val="none" w:sz="0" w:space="0" w:color="auto"/>
            <w:bottom w:val="none" w:sz="0" w:space="0" w:color="auto"/>
            <w:right w:val="none" w:sz="0" w:space="0" w:color="auto"/>
          </w:divBdr>
        </w:div>
        <w:div w:id="1821380002">
          <w:marLeft w:val="336"/>
          <w:marRight w:val="0"/>
          <w:marTop w:val="120"/>
          <w:marBottom w:val="312"/>
          <w:divBdr>
            <w:top w:val="none" w:sz="0" w:space="0" w:color="auto"/>
            <w:left w:val="none" w:sz="0" w:space="0" w:color="auto"/>
            <w:bottom w:val="none" w:sz="0" w:space="0" w:color="auto"/>
            <w:right w:val="none" w:sz="0" w:space="0" w:color="auto"/>
          </w:divBdr>
          <w:divsChild>
            <w:div w:id="15079870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34501593">
          <w:marLeft w:val="336"/>
          <w:marRight w:val="0"/>
          <w:marTop w:val="120"/>
          <w:marBottom w:val="312"/>
          <w:divBdr>
            <w:top w:val="none" w:sz="0" w:space="0" w:color="auto"/>
            <w:left w:val="none" w:sz="0" w:space="0" w:color="auto"/>
            <w:bottom w:val="none" w:sz="0" w:space="0" w:color="auto"/>
            <w:right w:val="none" w:sz="0" w:space="0" w:color="auto"/>
          </w:divBdr>
          <w:divsChild>
            <w:div w:id="2468878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Repartimiento_de_indios" TargetMode="External"/><Relationship Id="rId13" Type="http://schemas.openxmlformats.org/officeDocument/2006/relationships/hyperlink" Target="https://es.wikipedia.org/wiki/Estatus_social" TargetMode="External"/><Relationship Id="rId18" Type="http://schemas.openxmlformats.org/officeDocument/2006/relationships/hyperlink" Target="https://es.wikipedia.org/wiki/Aparcer%C3%ADa" TargetMode="External"/><Relationship Id="rId3" Type="http://schemas.openxmlformats.org/officeDocument/2006/relationships/settings" Target="settings.xml"/><Relationship Id="rId7" Type="http://schemas.openxmlformats.org/officeDocument/2006/relationships/hyperlink" Target="https://es.wikipedia.org/wiki/Encomiendas_en_Nueva_Espa%C3%B1a" TargetMode="External"/><Relationship Id="rId12" Type="http://schemas.openxmlformats.org/officeDocument/2006/relationships/hyperlink" Target="https://es.wikipedia.org/wiki/Hacienda_colonial" TargetMode="External"/><Relationship Id="rId17" Type="http://schemas.openxmlformats.org/officeDocument/2006/relationships/hyperlink" Target="https://es.wikipedia.org/wiki/Inquilinaje" TargetMode="External"/><Relationship Id="rId2" Type="http://schemas.openxmlformats.org/officeDocument/2006/relationships/styles" Target="styles.xml"/><Relationship Id="rId16" Type="http://schemas.openxmlformats.org/officeDocument/2006/relationships/hyperlink" Target="https://es.wikipedia.org/wiki/Peonaj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s.wikipedia.org/wiki/Estancias" TargetMode="External"/><Relationship Id="rId11" Type="http://schemas.openxmlformats.org/officeDocument/2006/relationships/hyperlink" Target="https://es.wikipedia.org/wiki/Hacienda_colonial" TargetMode="External"/><Relationship Id="rId5" Type="http://schemas.openxmlformats.org/officeDocument/2006/relationships/hyperlink" Target="https://es.wikipedia.org/wiki/Hispanoam%C3%A9rica" TargetMode="External"/><Relationship Id="rId15" Type="http://schemas.openxmlformats.org/officeDocument/2006/relationships/hyperlink" Target="https://es.wikipedia.org/wiki/Repartimiento_de_indios" TargetMode="External"/><Relationship Id="rId10" Type="http://schemas.openxmlformats.org/officeDocument/2006/relationships/hyperlink" Target="https://es.wikipedia.org/wiki/Hacienda_coloni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Merced_de_tierras" TargetMode="External"/><Relationship Id="rId14" Type="http://schemas.openxmlformats.org/officeDocument/2006/relationships/hyperlink" Target="https://es.wikipedia.org/wiki/Autarqu%C3%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835</Words>
  <Characters>4595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pinzon</dc:creator>
  <cp:keywords/>
  <dc:description/>
  <cp:lastModifiedBy>diego pinzon</cp:lastModifiedBy>
  <cp:revision>2</cp:revision>
  <dcterms:created xsi:type="dcterms:W3CDTF">2021-08-11T19:10:00Z</dcterms:created>
  <dcterms:modified xsi:type="dcterms:W3CDTF">2021-08-11T19:51:00Z</dcterms:modified>
</cp:coreProperties>
</file>