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254E1A" w14:paraId="7F36E8B3" w14:textId="77777777" w:rsidTr="00F73D25">
        <w:trPr>
          <w:trHeight w:val="277"/>
        </w:trPr>
        <w:tc>
          <w:tcPr>
            <w:tcW w:w="5000" w:type="pct"/>
            <w:gridSpan w:val="4"/>
          </w:tcPr>
          <w:p w14:paraId="6C1F8764" w14:textId="77777777" w:rsidR="005E4FB4" w:rsidRPr="00254E1A" w:rsidRDefault="005E4FB4" w:rsidP="00E1438B">
            <w:pPr>
              <w:spacing w:after="0" w:line="240" w:lineRule="auto"/>
              <w:ind w:left="-36"/>
              <w:jc w:val="center"/>
              <w:rPr>
                <w:rFonts w:ascii="Cambria" w:hAnsi="Cambria" w:cs="Arial"/>
                <w:b/>
                <w:sz w:val="24"/>
                <w:szCs w:val="24"/>
              </w:rPr>
            </w:pPr>
            <w:r w:rsidRPr="00254E1A">
              <w:rPr>
                <w:rFonts w:ascii="Cambria" w:hAnsi="Cambria" w:cs="Arial"/>
                <w:b/>
                <w:sz w:val="24"/>
                <w:szCs w:val="24"/>
              </w:rPr>
              <w:t xml:space="preserve">COLEGIO PSICOPEDAGÓGICO EL ARTE DEL SABER </w:t>
            </w:r>
            <w:r w:rsidR="00E1438B" w:rsidRPr="00254E1A">
              <w:rPr>
                <w:rFonts w:ascii="Cambria" w:hAnsi="Cambria" w:cs="Arial"/>
                <w:b/>
                <w:sz w:val="24"/>
                <w:szCs w:val="24"/>
              </w:rPr>
              <w:t>–</w:t>
            </w:r>
            <w:r w:rsidRPr="00254E1A">
              <w:rPr>
                <w:rFonts w:ascii="Cambria" w:hAnsi="Cambria" w:cs="Arial"/>
                <w:b/>
                <w:sz w:val="24"/>
                <w:szCs w:val="24"/>
              </w:rPr>
              <w:t xml:space="preserve"> </w:t>
            </w:r>
            <w:r w:rsidR="00E1438B" w:rsidRPr="00254E1A">
              <w:rPr>
                <w:rFonts w:ascii="Cambria" w:hAnsi="Cambria" w:cs="Arial"/>
                <w:b/>
                <w:sz w:val="24"/>
                <w:szCs w:val="24"/>
              </w:rPr>
              <w:t>GUÍA DE TRABAJO</w:t>
            </w:r>
          </w:p>
          <w:p w14:paraId="109A0177" w14:textId="77777777" w:rsidR="0081269F" w:rsidRPr="00254E1A" w:rsidRDefault="0081269F" w:rsidP="00E1438B">
            <w:pPr>
              <w:spacing w:after="0" w:line="240" w:lineRule="auto"/>
              <w:ind w:left="-36"/>
              <w:jc w:val="center"/>
              <w:rPr>
                <w:rFonts w:ascii="Cambria" w:hAnsi="Cambria" w:cs="Arial"/>
                <w:b/>
                <w:sz w:val="24"/>
                <w:szCs w:val="24"/>
              </w:rPr>
            </w:pPr>
          </w:p>
        </w:tc>
      </w:tr>
      <w:tr w:rsidR="005E4FB4" w:rsidRPr="00254E1A" w14:paraId="11A78C0B" w14:textId="77777777" w:rsidTr="00F73D25">
        <w:trPr>
          <w:trHeight w:val="270"/>
        </w:trPr>
        <w:tc>
          <w:tcPr>
            <w:tcW w:w="1997" w:type="pct"/>
          </w:tcPr>
          <w:p w14:paraId="20FD20C5" w14:textId="77777777" w:rsidR="00B1361C"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ASIGNATURA:</w:t>
            </w:r>
            <w:r w:rsidR="006F7A91" w:rsidRPr="00254E1A">
              <w:rPr>
                <w:rFonts w:ascii="Cambria" w:hAnsi="Cambria" w:cs="Arial"/>
                <w:b/>
                <w:sz w:val="24"/>
                <w:szCs w:val="24"/>
              </w:rPr>
              <w:t xml:space="preserve"> </w:t>
            </w:r>
          </w:p>
          <w:p w14:paraId="788A1D40" w14:textId="71FA0E22" w:rsidR="005E4FB4"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Biología</w:t>
            </w:r>
          </w:p>
        </w:tc>
        <w:tc>
          <w:tcPr>
            <w:tcW w:w="841" w:type="pct"/>
          </w:tcPr>
          <w:p w14:paraId="659114C3" w14:textId="2245B929" w:rsidR="005E4FB4" w:rsidRPr="00254E1A" w:rsidRDefault="005E4FB4" w:rsidP="00F73D25">
            <w:pPr>
              <w:spacing w:after="0" w:line="240" w:lineRule="auto"/>
              <w:ind w:left="-36"/>
              <w:rPr>
                <w:rFonts w:ascii="Cambria" w:hAnsi="Cambria" w:cs="Arial"/>
                <w:b/>
                <w:sz w:val="24"/>
                <w:szCs w:val="24"/>
              </w:rPr>
            </w:pPr>
            <w:r w:rsidRPr="00254E1A">
              <w:rPr>
                <w:rFonts w:ascii="Cambria" w:hAnsi="Cambria" w:cs="Arial"/>
                <w:b/>
                <w:sz w:val="24"/>
                <w:szCs w:val="24"/>
              </w:rPr>
              <w:t xml:space="preserve">GRADO: </w:t>
            </w:r>
            <w:r w:rsidR="008C315C">
              <w:rPr>
                <w:rFonts w:ascii="Cambria" w:hAnsi="Cambria" w:cs="Arial"/>
                <w:b/>
                <w:sz w:val="24"/>
                <w:szCs w:val="24"/>
              </w:rPr>
              <w:t>Sexto</w:t>
            </w:r>
          </w:p>
        </w:tc>
        <w:tc>
          <w:tcPr>
            <w:tcW w:w="1052" w:type="pct"/>
          </w:tcPr>
          <w:p w14:paraId="6755B45A" w14:textId="77777777" w:rsidR="005E4FB4" w:rsidRPr="00254E1A" w:rsidRDefault="006F7A91" w:rsidP="00F73D25">
            <w:pPr>
              <w:spacing w:after="0" w:line="240" w:lineRule="auto"/>
              <w:ind w:left="-36"/>
              <w:rPr>
                <w:rFonts w:ascii="Cambria" w:hAnsi="Cambria" w:cs="Arial"/>
                <w:b/>
                <w:sz w:val="24"/>
                <w:szCs w:val="24"/>
              </w:rPr>
            </w:pPr>
            <w:r w:rsidRPr="00254E1A">
              <w:rPr>
                <w:rFonts w:ascii="Cambria" w:hAnsi="Cambria" w:cs="Arial"/>
                <w:b/>
                <w:sz w:val="24"/>
                <w:szCs w:val="24"/>
              </w:rPr>
              <w:t>PERIODO:</w:t>
            </w:r>
          </w:p>
          <w:p w14:paraId="09D66811" w14:textId="66B879D8" w:rsidR="00B1361C" w:rsidRPr="00254E1A" w:rsidRDefault="00B1361C" w:rsidP="00F73D25">
            <w:pPr>
              <w:spacing w:after="0" w:line="240" w:lineRule="auto"/>
              <w:ind w:left="-36"/>
              <w:rPr>
                <w:rFonts w:ascii="Cambria" w:hAnsi="Cambria" w:cs="Arial"/>
                <w:b/>
                <w:sz w:val="24"/>
                <w:szCs w:val="24"/>
              </w:rPr>
            </w:pPr>
            <w:r w:rsidRPr="00254E1A">
              <w:rPr>
                <w:rFonts w:ascii="Cambria" w:hAnsi="Cambria" w:cs="Arial"/>
                <w:b/>
                <w:sz w:val="24"/>
                <w:szCs w:val="24"/>
              </w:rPr>
              <w:t>Tercer periodo</w:t>
            </w:r>
          </w:p>
        </w:tc>
        <w:tc>
          <w:tcPr>
            <w:tcW w:w="1110" w:type="pct"/>
          </w:tcPr>
          <w:p w14:paraId="304AD3D5" w14:textId="77777777" w:rsidR="00185EC3" w:rsidRPr="00254E1A" w:rsidRDefault="005E4FB4" w:rsidP="00185EC3">
            <w:pPr>
              <w:spacing w:after="0" w:line="240" w:lineRule="auto"/>
              <w:ind w:left="-36"/>
              <w:rPr>
                <w:rFonts w:ascii="Cambria" w:hAnsi="Cambria" w:cs="Arial"/>
                <w:b/>
                <w:sz w:val="24"/>
                <w:szCs w:val="24"/>
              </w:rPr>
            </w:pPr>
            <w:r w:rsidRPr="00254E1A">
              <w:rPr>
                <w:rFonts w:ascii="Cambria" w:hAnsi="Cambria" w:cs="Arial"/>
                <w:b/>
                <w:sz w:val="24"/>
                <w:szCs w:val="24"/>
              </w:rPr>
              <w:t>FECHA:</w:t>
            </w:r>
          </w:p>
          <w:p w14:paraId="4EBF0820" w14:textId="6B037D54" w:rsidR="005E4FB4" w:rsidRPr="008C315C" w:rsidRDefault="008C315C" w:rsidP="00185EC3">
            <w:pPr>
              <w:spacing w:after="0" w:line="240" w:lineRule="auto"/>
              <w:ind w:left="-36"/>
              <w:rPr>
                <w:rFonts w:ascii="Cambria" w:hAnsi="Cambria" w:cs="Arial"/>
                <w:b/>
              </w:rPr>
            </w:pPr>
            <w:r w:rsidRPr="008C315C">
              <w:rPr>
                <w:rFonts w:ascii="Cambria" w:hAnsi="Cambria" w:cs="Arial"/>
                <w:b/>
              </w:rPr>
              <w:t>09</w:t>
            </w:r>
            <w:r w:rsidR="00B1361C" w:rsidRPr="008C315C">
              <w:rPr>
                <w:rFonts w:ascii="Cambria" w:hAnsi="Cambria" w:cs="Arial"/>
                <w:b/>
              </w:rPr>
              <w:t xml:space="preserve"> de </w:t>
            </w:r>
            <w:proofErr w:type="gramStart"/>
            <w:r w:rsidRPr="008C315C">
              <w:rPr>
                <w:rFonts w:ascii="Cambria" w:hAnsi="Cambria" w:cs="Arial"/>
                <w:b/>
              </w:rPr>
              <w:t>Noviembre</w:t>
            </w:r>
            <w:proofErr w:type="gramEnd"/>
          </w:p>
        </w:tc>
      </w:tr>
    </w:tbl>
    <w:p w14:paraId="63B44DD2" w14:textId="7611D333" w:rsidR="005E4FB4" w:rsidRPr="00254E1A" w:rsidRDefault="005E4FB4" w:rsidP="005E4FB4">
      <w:pPr>
        <w:rPr>
          <w:rFonts w:ascii="Cambria" w:hAnsi="Cambria"/>
          <w:b/>
        </w:rPr>
      </w:pPr>
    </w:p>
    <w:p w14:paraId="171A6A9A" w14:textId="7242F7D6" w:rsidR="007F0021" w:rsidRPr="00254E1A" w:rsidRDefault="005E4FB4" w:rsidP="006F7A91">
      <w:pPr>
        <w:rPr>
          <w:rFonts w:ascii="Cambria" w:hAnsi="Cambria"/>
          <w:b/>
        </w:rPr>
      </w:pPr>
      <w:r w:rsidRPr="00254E1A">
        <w:rPr>
          <w:rFonts w:ascii="Cambria" w:hAnsi="Cambria"/>
          <w:b/>
        </w:rPr>
        <w:t xml:space="preserve">TEMA: </w:t>
      </w:r>
      <w:r w:rsidR="00B734C0">
        <w:rPr>
          <w:rFonts w:ascii="Cambria" w:hAnsi="Cambria"/>
          <w:b/>
        </w:rPr>
        <w:t>Vacunas y agentes patógenos</w:t>
      </w:r>
    </w:p>
    <w:p w14:paraId="6B784C57" w14:textId="11E9EABE" w:rsidR="00A9612B" w:rsidRPr="00254E1A" w:rsidRDefault="007F0021" w:rsidP="006F7A91">
      <w:pPr>
        <w:rPr>
          <w:rFonts w:ascii="Cambria" w:hAnsi="Cambria"/>
          <w:b/>
        </w:rPr>
      </w:pPr>
      <w:r w:rsidRPr="00254E1A">
        <w:rPr>
          <w:rFonts w:ascii="Cambria" w:hAnsi="Cambria"/>
          <w:b/>
        </w:rPr>
        <w:t>F</w:t>
      </w:r>
      <w:r w:rsidR="003B581D" w:rsidRPr="00254E1A">
        <w:rPr>
          <w:rFonts w:ascii="Cambria" w:hAnsi="Cambria"/>
          <w:b/>
        </w:rPr>
        <w:t>e</w:t>
      </w:r>
      <w:r w:rsidR="008C25BC" w:rsidRPr="00254E1A">
        <w:rPr>
          <w:rFonts w:ascii="Cambria" w:hAnsi="Cambria"/>
          <w:b/>
        </w:rPr>
        <w:t>cha límite de entrega</w:t>
      </w:r>
      <w:r w:rsidR="009F1E64" w:rsidRPr="00254E1A">
        <w:rPr>
          <w:rFonts w:ascii="Cambria" w:hAnsi="Cambria"/>
          <w:b/>
        </w:rPr>
        <w:t>:</w:t>
      </w:r>
      <w:r w:rsidR="008C25BC" w:rsidRPr="00254E1A">
        <w:rPr>
          <w:rFonts w:ascii="Cambria" w:hAnsi="Cambria"/>
          <w:b/>
        </w:rPr>
        <w:t xml:space="preserve"> </w:t>
      </w:r>
      <w:r w:rsidR="00B1361C" w:rsidRPr="00254E1A">
        <w:rPr>
          <w:rFonts w:ascii="Cambria" w:hAnsi="Cambria"/>
          <w:b/>
        </w:rPr>
        <w:t xml:space="preserve">viernes </w:t>
      </w:r>
      <w:r w:rsidR="008C315C">
        <w:rPr>
          <w:rFonts w:ascii="Cambria" w:hAnsi="Cambria"/>
          <w:b/>
        </w:rPr>
        <w:t>13 de noviembre</w:t>
      </w:r>
      <w:r w:rsidR="00B1361C" w:rsidRPr="00254E1A">
        <w:rPr>
          <w:rFonts w:ascii="Cambria" w:hAnsi="Cambria"/>
          <w:b/>
        </w:rPr>
        <w:t>.</w:t>
      </w:r>
    </w:p>
    <w:p w14:paraId="0ED984DE" w14:textId="57FBDDF5" w:rsidR="00EC10FE" w:rsidRPr="00254E1A" w:rsidRDefault="00EC10FE" w:rsidP="006F7A91">
      <w:pPr>
        <w:rPr>
          <w:rFonts w:ascii="Cambria" w:hAnsi="Cambria"/>
          <w:b/>
          <w:u w:val="single"/>
        </w:rPr>
      </w:pPr>
      <w:r w:rsidRPr="00254E1A">
        <w:rPr>
          <w:rFonts w:ascii="Cambria" w:hAnsi="Cambria"/>
          <w:b/>
          <w:u w:val="single"/>
        </w:rPr>
        <w:t xml:space="preserve">Leer la guía como preparación a la sesión en línea. </w:t>
      </w:r>
    </w:p>
    <w:p w14:paraId="4D088810" w14:textId="4EE63018" w:rsidR="00B1361C" w:rsidRDefault="00B1361C" w:rsidP="006F7A91">
      <w:pPr>
        <w:rPr>
          <w:rFonts w:ascii="Cambria" w:hAnsi="Cambria"/>
          <w:b/>
          <w:bCs/>
          <w:u w:val="single"/>
        </w:rPr>
      </w:pPr>
      <w:r w:rsidRPr="00254E1A">
        <w:rPr>
          <w:rFonts w:ascii="Cambria" w:hAnsi="Cambria"/>
          <w:b/>
          <w:bCs/>
          <w:u w:val="single"/>
        </w:rPr>
        <w:t xml:space="preserve">Contextualización: </w:t>
      </w:r>
    </w:p>
    <w:p w14:paraId="6FCFD96A" w14:textId="15EF7B85" w:rsidR="00B734C0" w:rsidRPr="00B734C0" w:rsidRDefault="00B734C0" w:rsidP="00B734C0">
      <w:pPr>
        <w:jc w:val="center"/>
        <w:rPr>
          <w:rFonts w:ascii="Cambria" w:hAnsi="Cambria"/>
          <w:b/>
          <w:bCs/>
          <w:u w:val="single"/>
        </w:rPr>
      </w:pPr>
      <w:r w:rsidRPr="00B734C0">
        <w:rPr>
          <w:rFonts w:ascii="Cambria" w:hAnsi="Cambria"/>
          <w:b/>
          <w:bCs/>
        </w:rPr>
        <w:t>El concepto de patogenicidad</w:t>
      </w:r>
    </w:p>
    <w:p w14:paraId="51B5D8CF" w14:textId="77777777" w:rsidR="00B734C0" w:rsidRDefault="00B734C0" w:rsidP="00F03898">
      <w:pPr>
        <w:ind w:left="360"/>
        <w:jc w:val="both"/>
        <w:rPr>
          <w:rFonts w:ascii="Cambria" w:hAnsi="Cambria"/>
        </w:rPr>
      </w:pPr>
      <w:r w:rsidRPr="00B734C0">
        <w:rPr>
          <w:rFonts w:ascii="Cambria" w:hAnsi="Cambria"/>
        </w:rPr>
        <w:t xml:space="preserve">Patogenicidad es la capacidad de causar enfermedad. Debido a que los patógenos son microorganismos que se adaptan y evolucionan rápidamente, los métodos que utilizan para causar enfermedad son complejos para realizarles un seguimiento estadístico. </w:t>
      </w:r>
    </w:p>
    <w:p w14:paraId="2F36AA64" w14:textId="77777777" w:rsidR="00BF4919" w:rsidRPr="00C0433C" w:rsidRDefault="00B734C0" w:rsidP="00F03898">
      <w:pPr>
        <w:ind w:left="360"/>
        <w:jc w:val="both"/>
        <w:rPr>
          <w:rFonts w:ascii="Cambria" w:hAnsi="Cambria"/>
        </w:rPr>
      </w:pPr>
      <w:r w:rsidRPr="00C0433C">
        <w:rPr>
          <w:rFonts w:ascii="Cambria" w:hAnsi="Cambria"/>
        </w:rPr>
        <w:t xml:space="preserve">La continua evolución de los microorganismos obliga a cambiar los procesos de tratamiento de enfermedades y controlarlas eficazmente. Afortunadamente, las técnicas moleculares y de imagen genómicas y mejoradas, han ampliado enormemente la comprensión científica de los microorganismos que causan enfermedades transmitidas. </w:t>
      </w:r>
    </w:p>
    <w:p w14:paraId="5054B612" w14:textId="1FC332E8" w:rsidR="00F03898" w:rsidRPr="00C0433C" w:rsidRDefault="00B734C0" w:rsidP="00F03898">
      <w:pPr>
        <w:ind w:left="360"/>
        <w:jc w:val="both"/>
        <w:rPr>
          <w:rFonts w:ascii="Cambria" w:hAnsi="Cambria"/>
        </w:rPr>
      </w:pPr>
      <w:r w:rsidRPr="00C0433C">
        <w:rPr>
          <w:rFonts w:ascii="Cambria" w:hAnsi="Cambria"/>
        </w:rPr>
        <w:t>La evolución y la selección están estrechamente relacionadas. La evolución produce microorganismos que son claramente diferentes de las generaciones anteriores; la selección da a estas cepas mutadas una ventaja, y hace que éstas sean predominantes.</w:t>
      </w:r>
    </w:p>
    <w:p w14:paraId="595BBB8D" w14:textId="2EEAB403" w:rsidR="00BF4919" w:rsidRDefault="00C0433C" w:rsidP="00F03898">
      <w:pPr>
        <w:ind w:left="360"/>
        <w:jc w:val="both"/>
        <w:rPr>
          <w:rFonts w:ascii="Cambria" w:hAnsi="Cambria"/>
        </w:rPr>
      </w:pPr>
      <w:r w:rsidRPr="00C0433C">
        <w:rPr>
          <w:rFonts w:ascii="Cambria" w:hAnsi="Cambria"/>
          <w:noProof/>
        </w:rPr>
        <w:drawing>
          <wp:anchor distT="0" distB="0" distL="114300" distR="114300" simplePos="0" relativeHeight="251658240" behindDoc="1" locked="0" layoutInCell="1" allowOverlap="1" wp14:anchorId="26BCCEE0" wp14:editId="42772414">
            <wp:simplePos x="0" y="0"/>
            <wp:positionH relativeFrom="column">
              <wp:posOffset>3091815</wp:posOffset>
            </wp:positionH>
            <wp:positionV relativeFrom="paragraph">
              <wp:posOffset>107950</wp:posOffset>
            </wp:positionV>
            <wp:extent cx="3028315" cy="2209800"/>
            <wp:effectExtent l="0" t="0" r="635" b="0"/>
            <wp:wrapTight wrapText="bothSides">
              <wp:wrapPolygon edited="0">
                <wp:start x="0" y="0"/>
                <wp:lineTo x="0" y="21414"/>
                <wp:lineTo x="21469" y="21414"/>
                <wp:lineTo x="214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28315" cy="2209800"/>
                    </a:xfrm>
                    <a:prstGeom prst="rect">
                      <a:avLst/>
                    </a:prstGeom>
                  </pic:spPr>
                </pic:pic>
              </a:graphicData>
            </a:graphic>
            <wp14:sizeRelH relativeFrom="margin">
              <wp14:pctWidth>0</wp14:pctWidth>
            </wp14:sizeRelH>
            <wp14:sizeRelV relativeFrom="margin">
              <wp14:pctHeight>0</wp14:pctHeight>
            </wp14:sizeRelV>
          </wp:anchor>
        </w:drawing>
      </w:r>
      <w:r w:rsidR="00BF4919" w:rsidRPr="00C0433C">
        <w:rPr>
          <w:rFonts w:ascii="Cambria" w:hAnsi="Cambria"/>
        </w:rPr>
        <w:t>Los patógenos pueden expresar una amplia gama de virulencia. La virulencia es un término utilizado a menudo de forma intercambiable con la patogenicidad, se refiere al grado de patología causada por el organismo. El alcance de la virulencia está generalmente correlacionado con la capacidad del patógeno para multiplicarse dentro del huésped, y puede ser afectado por otros factores (es decir, condicional). En resumen, un organismo (especie o cepa) se define como patógena (o no), dependiendo de las condiciones, y puede presentar diferentes niveles de virulencia (Figura).</w:t>
      </w:r>
    </w:p>
    <w:p w14:paraId="578C6458" w14:textId="4787C42C" w:rsidR="00C0433C" w:rsidRDefault="00C0433C" w:rsidP="00F03898">
      <w:pPr>
        <w:ind w:left="360"/>
        <w:jc w:val="both"/>
        <w:rPr>
          <w:rFonts w:ascii="Cambria" w:hAnsi="Cambria"/>
        </w:rPr>
      </w:pPr>
      <w:r w:rsidRPr="00C0433C">
        <w:rPr>
          <w:rFonts w:ascii="Cambria" w:hAnsi="Cambria"/>
        </w:rPr>
        <w:t xml:space="preserve">La relación entre el huésped y el patógeno es dinámica, ya que cada actividad de cada uno de ellos modifica las funciones del otro. El resultado de tal relación depende de la virulencia </w:t>
      </w:r>
      <w:r>
        <w:rPr>
          <w:rFonts w:ascii="Cambria" w:hAnsi="Cambria"/>
          <w:b/>
          <w:bCs/>
          <w:noProof/>
        </w:rPr>
        <w:lastRenderedPageBreak/>
        <w:drawing>
          <wp:anchor distT="0" distB="0" distL="114300" distR="114300" simplePos="0" relativeHeight="251659264" behindDoc="1" locked="0" layoutInCell="1" allowOverlap="1" wp14:anchorId="5851F315" wp14:editId="2C5E8FF4">
            <wp:simplePos x="0" y="0"/>
            <wp:positionH relativeFrom="column">
              <wp:posOffset>4758690</wp:posOffset>
            </wp:positionH>
            <wp:positionV relativeFrom="paragraph">
              <wp:posOffset>0</wp:posOffset>
            </wp:positionV>
            <wp:extent cx="1019175" cy="1485900"/>
            <wp:effectExtent l="0" t="0" r="0" b="0"/>
            <wp:wrapTight wrapText="bothSides">
              <wp:wrapPolygon edited="0">
                <wp:start x="8882" y="0"/>
                <wp:lineTo x="4845" y="831"/>
                <wp:lineTo x="807" y="3046"/>
                <wp:lineTo x="807" y="6092"/>
                <wp:lineTo x="5249" y="9138"/>
                <wp:lineTo x="7267" y="9138"/>
                <wp:lineTo x="3634" y="10523"/>
                <wp:lineTo x="3230" y="18000"/>
                <wp:lineTo x="6460" y="18000"/>
                <wp:lineTo x="5249" y="19662"/>
                <wp:lineTo x="5652" y="21046"/>
                <wp:lineTo x="16553" y="21046"/>
                <wp:lineTo x="20187" y="18554"/>
                <wp:lineTo x="17361" y="13569"/>
                <wp:lineTo x="18976" y="11631"/>
                <wp:lineTo x="18168" y="10246"/>
                <wp:lineTo x="14535" y="9138"/>
                <wp:lineTo x="16150" y="9138"/>
                <wp:lineTo x="19783" y="6092"/>
                <wp:lineTo x="20187" y="2769"/>
                <wp:lineTo x="16553" y="831"/>
                <wp:lineTo x="11305" y="0"/>
                <wp:lineTo x="8882" y="0"/>
              </wp:wrapPolygon>
            </wp:wrapTight>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8 at 8.23.03 AM.jpeg"/>
                    <pic:cNvPicPr/>
                  </pic:nvPicPr>
                  <pic:blipFill rotWithShape="1">
                    <a:blip r:embed="rId8" cstate="print">
                      <a:extLst>
                        <a:ext uri="{BEBA8EAE-BF5A-486C-A8C5-ECC9F3942E4B}">
                          <a14:imgProps xmlns:a14="http://schemas.microsoft.com/office/drawing/2010/main">
                            <a14:imgLayer r:embed="rId9">
                              <a14:imgEffect>
                                <a14:backgroundRemoval t="10000" b="90000" l="10000" r="90000">
                                  <a14:foregroundMark x1="62461" y1="51406" x2="62461" y2="51406"/>
                                  <a14:foregroundMark x1="62148" y1="50859" x2="62148" y2="50859"/>
                                  <a14:backgroundMark x1="62774" y1="50078" x2="62774" y2="50078"/>
                                  <a14:backgroundMark x1="62252" y1="50234" x2="62252" y2="50234"/>
                                  <a14:backgroundMark x1="62252" y1="50234" x2="62252" y2="50234"/>
                                  <a14:backgroundMark x1="62252" y1="50234" x2="62252" y2="50234"/>
                                  <a14:backgroundMark x1="62252" y1="50234" x2="62252" y2="50234"/>
                                  <a14:backgroundMark x1="62461" y1="50234" x2="62461" y2="50234"/>
                                  <a14:backgroundMark x1="62461" y1="50234" x2="62461" y2="50234"/>
                                  <a14:backgroundMark x1="62461" y1="50234" x2="62461" y2="49609"/>
                                </a14:backgroundRemoval>
                              </a14:imgEffect>
                            </a14:imgLayer>
                          </a14:imgProps>
                        </a:ext>
                        <a:ext uri="{28A0092B-C50C-407E-A947-70E740481C1C}">
                          <a14:useLocalDpi xmlns:a14="http://schemas.microsoft.com/office/drawing/2010/main" val="0"/>
                        </a:ext>
                      </a:extLst>
                    </a:blip>
                    <a:srcRect l="22128" t="16974" r="21497" b="21448"/>
                    <a:stretch/>
                  </pic:blipFill>
                  <pic:spPr bwMode="auto">
                    <a:xfrm>
                      <a:off x="0" y="0"/>
                      <a:ext cx="1019175"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433C">
        <w:rPr>
          <w:rFonts w:ascii="Cambria" w:hAnsi="Cambria"/>
        </w:rPr>
        <w:t xml:space="preserve">del patógeno, y del grado relativo de resistencia o susceptibilidad del huésped, principalmente debido a la eficacia de los mecanismos de defensa del huésped. </w:t>
      </w:r>
    </w:p>
    <w:p w14:paraId="319785CD" w14:textId="5BAAEE60" w:rsidR="00C0433C" w:rsidRPr="00C0433C" w:rsidRDefault="00C0433C" w:rsidP="00F03898">
      <w:pPr>
        <w:ind w:left="360"/>
        <w:jc w:val="both"/>
        <w:rPr>
          <w:rFonts w:ascii="Cambria" w:hAnsi="Cambria"/>
          <w:b/>
          <w:bCs/>
        </w:rPr>
      </w:pPr>
      <w:r w:rsidRPr="00C0433C">
        <w:rPr>
          <w:rFonts w:ascii="Cambria" w:hAnsi="Cambria"/>
          <w:b/>
          <w:bCs/>
        </w:rPr>
        <w:t xml:space="preserve">Actividad: </w:t>
      </w:r>
    </w:p>
    <w:p w14:paraId="3781F91F" w14:textId="01C090FE" w:rsidR="00C0433C" w:rsidRPr="00C0433C" w:rsidRDefault="00C0433C" w:rsidP="00C0433C">
      <w:pPr>
        <w:ind w:left="720"/>
        <w:jc w:val="both"/>
        <w:rPr>
          <w:rFonts w:ascii="Cambria" w:hAnsi="Cambria"/>
        </w:rPr>
      </w:pPr>
    </w:p>
    <w:p w14:paraId="525BBD81" w14:textId="2315FDF4" w:rsidR="00C0433C" w:rsidRPr="00C0433C" w:rsidRDefault="00C0433C" w:rsidP="00C0433C">
      <w:pPr>
        <w:pStyle w:val="Prrafodelista"/>
        <w:numPr>
          <w:ilvl w:val="0"/>
          <w:numId w:val="15"/>
        </w:numPr>
        <w:jc w:val="both"/>
        <w:rPr>
          <w:rFonts w:ascii="Cambria" w:hAnsi="Cambria"/>
        </w:rPr>
      </w:pPr>
      <w:r>
        <w:t>En la tabla relacione tres tipos de virus y bacterias que afectan al ser humano, realice una descripción de cada uno y cómo estos invaden y atacan el organismo.</w:t>
      </w:r>
    </w:p>
    <w:p w14:paraId="53E00C94" w14:textId="325EAA30" w:rsidR="00C0433C" w:rsidRPr="00C0433C" w:rsidRDefault="00C0433C" w:rsidP="00C0433C">
      <w:pPr>
        <w:pStyle w:val="Prrafodelista"/>
        <w:ind w:left="1080"/>
        <w:jc w:val="both"/>
        <w:rPr>
          <w:rFonts w:ascii="Cambria" w:hAnsi="Cambria"/>
        </w:rPr>
      </w:pPr>
      <w:r>
        <w:rPr>
          <w:noProof/>
        </w:rPr>
        <w:drawing>
          <wp:inline distT="0" distB="0" distL="0" distR="0" wp14:anchorId="453EED9F" wp14:editId="4974977F">
            <wp:extent cx="5612130" cy="344360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443605"/>
                    </a:xfrm>
                    <a:prstGeom prst="rect">
                      <a:avLst/>
                    </a:prstGeom>
                  </pic:spPr>
                </pic:pic>
              </a:graphicData>
            </a:graphic>
          </wp:inline>
        </w:drawing>
      </w:r>
    </w:p>
    <w:p w14:paraId="55D81680" w14:textId="538703DD" w:rsidR="00A775A0" w:rsidRPr="00C0433C" w:rsidRDefault="00A775A0" w:rsidP="00C0433C">
      <w:pPr>
        <w:pStyle w:val="Prrafodelista"/>
        <w:spacing w:after="0"/>
        <w:rPr>
          <w:rFonts w:ascii="Cambria" w:hAnsi="Cambria"/>
          <w:b/>
          <w:bCs/>
          <w:color w:val="FF0000"/>
        </w:rPr>
      </w:pPr>
    </w:p>
    <w:sectPr w:rsidR="00A775A0" w:rsidRPr="00C0433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DE7A" w14:textId="77777777" w:rsidR="0096640C" w:rsidRDefault="0096640C" w:rsidP="00CA656E">
      <w:pPr>
        <w:spacing w:after="0" w:line="240" w:lineRule="auto"/>
      </w:pPr>
      <w:r>
        <w:separator/>
      </w:r>
    </w:p>
  </w:endnote>
  <w:endnote w:type="continuationSeparator" w:id="0">
    <w:p w14:paraId="1D38E5F5" w14:textId="77777777" w:rsidR="0096640C" w:rsidRDefault="0096640C"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0A9C" w14:textId="77777777" w:rsidR="0096640C" w:rsidRDefault="0096640C" w:rsidP="00CA656E">
      <w:pPr>
        <w:spacing w:after="0" w:line="240" w:lineRule="auto"/>
      </w:pPr>
      <w:r>
        <w:separator/>
      </w:r>
    </w:p>
  </w:footnote>
  <w:footnote w:type="continuationSeparator" w:id="0">
    <w:p w14:paraId="5BC00E81" w14:textId="77777777" w:rsidR="0096640C" w:rsidRDefault="0096640C"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2E7D"/>
    <w:multiLevelType w:val="hybridMultilevel"/>
    <w:tmpl w:val="4B40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3A08BF58"/>
    <w:lvl w:ilvl="0" w:tplc="3A926E7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9758B8"/>
    <w:multiLevelType w:val="hybridMultilevel"/>
    <w:tmpl w:val="8CF29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995AD3"/>
    <w:multiLevelType w:val="hybridMultilevel"/>
    <w:tmpl w:val="43DCD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F60718"/>
    <w:multiLevelType w:val="hybridMultilevel"/>
    <w:tmpl w:val="A6220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5726EA8"/>
    <w:multiLevelType w:val="hybridMultilevel"/>
    <w:tmpl w:val="E182CD9A"/>
    <w:lvl w:ilvl="0" w:tplc="240A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14"/>
  </w:num>
  <w:num w:numId="5">
    <w:abstractNumId w:val="6"/>
  </w:num>
  <w:num w:numId="6">
    <w:abstractNumId w:val="10"/>
  </w:num>
  <w:num w:numId="7">
    <w:abstractNumId w:val="12"/>
  </w:num>
  <w:num w:numId="8">
    <w:abstractNumId w:val="2"/>
  </w:num>
  <w:num w:numId="9">
    <w:abstractNumId w:val="1"/>
  </w:num>
  <w:num w:numId="10">
    <w:abstractNumId w:val="8"/>
  </w:num>
  <w:num w:numId="11">
    <w:abstractNumId w:val="0"/>
  </w:num>
  <w:num w:numId="12">
    <w:abstractNumId w:val="11"/>
  </w:num>
  <w:num w:numId="13">
    <w:abstractNumId w:val="9"/>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A764E"/>
    <w:rsid w:val="000B3E1D"/>
    <w:rsid w:val="000E54C8"/>
    <w:rsid w:val="00102751"/>
    <w:rsid w:val="0013574C"/>
    <w:rsid w:val="00150EEC"/>
    <w:rsid w:val="00185EC3"/>
    <w:rsid w:val="0019743E"/>
    <w:rsid w:val="001F492B"/>
    <w:rsid w:val="00202927"/>
    <w:rsid w:val="0020732E"/>
    <w:rsid w:val="0023645D"/>
    <w:rsid w:val="00254E1A"/>
    <w:rsid w:val="002924F6"/>
    <w:rsid w:val="002A0518"/>
    <w:rsid w:val="003A63D6"/>
    <w:rsid w:val="003B581D"/>
    <w:rsid w:val="003F2D8A"/>
    <w:rsid w:val="00401E2A"/>
    <w:rsid w:val="0041548A"/>
    <w:rsid w:val="00416A26"/>
    <w:rsid w:val="0048649F"/>
    <w:rsid w:val="005B66CA"/>
    <w:rsid w:val="005E4FB4"/>
    <w:rsid w:val="005F43C5"/>
    <w:rsid w:val="00601B1C"/>
    <w:rsid w:val="00632CB8"/>
    <w:rsid w:val="00680BBD"/>
    <w:rsid w:val="006F7A91"/>
    <w:rsid w:val="00743199"/>
    <w:rsid w:val="007823BC"/>
    <w:rsid w:val="007E46A5"/>
    <w:rsid w:val="007F0021"/>
    <w:rsid w:val="0081269F"/>
    <w:rsid w:val="00813E6C"/>
    <w:rsid w:val="00840067"/>
    <w:rsid w:val="00845A0C"/>
    <w:rsid w:val="008659E9"/>
    <w:rsid w:val="008823A2"/>
    <w:rsid w:val="00896035"/>
    <w:rsid w:val="008C25BC"/>
    <w:rsid w:val="008C315C"/>
    <w:rsid w:val="008C60FF"/>
    <w:rsid w:val="0092467C"/>
    <w:rsid w:val="00932326"/>
    <w:rsid w:val="00941DE1"/>
    <w:rsid w:val="0096640C"/>
    <w:rsid w:val="00993FDB"/>
    <w:rsid w:val="009F1E64"/>
    <w:rsid w:val="00A25E6E"/>
    <w:rsid w:val="00A65CC1"/>
    <w:rsid w:val="00A775A0"/>
    <w:rsid w:val="00A90E38"/>
    <w:rsid w:val="00A9612B"/>
    <w:rsid w:val="00AE28D6"/>
    <w:rsid w:val="00AF7EAB"/>
    <w:rsid w:val="00B0374B"/>
    <w:rsid w:val="00B1361C"/>
    <w:rsid w:val="00B54A53"/>
    <w:rsid w:val="00B72DA7"/>
    <w:rsid w:val="00B734C0"/>
    <w:rsid w:val="00B93779"/>
    <w:rsid w:val="00BB168C"/>
    <w:rsid w:val="00BB2DE2"/>
    <w:rsid w:val="00BF4919"/>
    <w:rsid w:val="00C0433C"/>
    <w:rsid w:val="00C92A49"/>
    <w:rsid w:val="00CA656E"/>
    <w:rsid w:val="00CB3E66"/>
    <w:rsid w:val="00CC77C5"/>
    <w:rsid w:val="00CD670B"/>
    <w:rsid w:val="00DC01FD"/>
    <w:rsid w:val="00DE4781"/>
    <w:rsid w:val="00E1153B"/>
    <w:rsid w:val="00E13A1D"/>
    <w:rsid w:val="00E1438B"/>
    <w:rsid w:val="00E67BC0"/>
    <w:rsid w:val="00E95B36"/>
    <w:rsid w:val="00EC10FE"/>
    <w:rsid w:val="00EF399A"/>
    <w:rsid w:val="00F03898"/>
    <w:rsid w:val="00F67E35"/>
    <w:rsid w:val="00F72987"/>
    <w:rsid w:val="00F83CE2"/>
    <w:rsid w:val="00FA3B95"/>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2</cp:revision>
  <dcterms:created xsi:type="dcterms:W3CDTF">2020-11-04T16:44:00Z</dcterms:created>
  <dcterms:modified xsi:type="dcterms:W3CDTF">2020-11-04T16:44:00Z</dcterms:modified>
</cp:coreProperties>
</file>