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MRUA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27/07/2020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"https://youtu.be/hGAZrY1tVpw"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https://youtu.be/hGAZrY1tVpw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"https://youtu.be/B6YEpb0Ino4"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https://youtu.be/B6YEpb0Ino4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"https://youtu.be/XnVyr6sPOJQ"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https://youtu.be/XnVyr6sPOJQ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</w:rPr>
        <w:t>Un automóvil parte del reposo y acelera uniformemente hasta alcanzar una rapidez de 20 m/s en 4 s. Determinar su aceleración y la distancia recorrida.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</w:rPr>
        <w:t>El conductor de un automóvil, que se mueve a 108 km/h, acciona los frenos y logra detenerlo en 60 m. ¿Cuánto tiempo duró el frenado? ¿Cuál fue la desaceleración?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  <w:lang w:val="es-CO"/>
        </w:rPr>
        <w:t xml:space="preserve">Se deja caer una esfera a 10 metros de distancia del suelo, si la aceleración gravitacional es 10m/s²;¿Cuánto tiempo demora en impactar con el suelo?,¿con que velocidad impacta el suelo? 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</w:pPr>
      <w: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ascii="Arial" w:hAnsi="Arial" w:eastAsia="SimSun" w:cs="Arial"/>
          <w:i w:val="0"/>
          <w:caps w:val="0"/>
          <w:spacing w:val="0"/>
          <w:sz w:val="45"/>
          <w:szCs w:val="45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4"/>
          <w:szCs w:val="24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&gt;&gt;</w:t>
      </w:r>
    </w:p>
    <w:p/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D986"/>
    <w:multiLevelType w:val="singleLevel"/>
    <w:tmpl w:val="078FD98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C281349"/>
    <w:rsid w:val="1FD57055"/>
    <w:rsid w:val="29506A4E"/>
    <w:rsid w:val="29AB4BBF"/>
    <w:rsid w:val="331468B6"/>
    <w:rsid w:val="33484270"/>
    <w:rsid w:val="3C13166B"/>
    <w:rsid w:val="40AE19B7"/>
    <w:rsid w:val="591452D2"/>
    <w:rsid w:val="602A71FF"/>
    <w:rsid w:val="6310405B"/>
    <w:rsid w:val="64CB1263"/>
    <w:rsid w:val="69B865E8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2020-07-23T14:17:54Z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