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3"/>
        <w:gridCol w:w="1421"/>
        <w:gridCol w:w="177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</w:rPr>
        <w:t>Representación gráfica de un fraccionario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, </w:t>
      </w:r>
      <w:r>
        <w:rPr>
          <w:rFonts w:hint="default" w:ascii="Cambria" w:hAnsi="Cambria"/>
          <w:b/>
          <w:bCs w:val="0"/>
          <w:sz w:val="22"/>
          <w:szCs w:val="22"/>
        </w:rPr>
        <w:t>Complificación y simplificación de fraccionarios.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27/07/2020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"https://youtu.be/X7j9EMo_MWg"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https://youtu.be/X7j9EMo_MWg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"https://youtu.be/7J5vIysJHXs"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https://youtu.be/7J5vIysJHXs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"https://youtu.be/a1NRpEuZqqM"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https://youtu.be/a1NRpEuZqqM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 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Lectura del modulo: paginas 168-182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Leer del modulo la pagina 100 .</w:t>
      </w:r>
    </w:p>
    <w:p>
      <w:pPr>
        <w:numPr>
          <w:ilvl w:val="0"/>
          <w:numId w:val="1"/>
        </w:numPr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Realizar del modulo:</w:t>
      </w:r>
    </w:p>
    <w:p>
      <w:pPr>
        <w:numPr>
          <w:ilvl w:val="0"/>
          <w:numId w:val="2"/>
        </w:numPr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Ejercicio 11 de la pagina 98.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1406525" cy="1284605"/>
            <wp:effectExtent l="0" t="0" r="3175" b="10795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</w:pPr>
      <w:r>
        <w:rPr>
          <w:rStyle w:val="7"/>
          <w:rFonts w:hint="default" w:ascii="Cambria" w:hAnsi="Cambria" w:eastAsia="Segoe UI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“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</w:rPr>
        <w:t>Un matemático que no es también algo de poeta nunca será un matemático completo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”</w:t>
      </w:r>
    </w:p>
    <w:p>
      <w:pPr>
        <w:jc w:val="center"/>
        <w:rPr>
          <w:rFonts w:ascii="Arial" w:hAnsi="Arial" w:eastAsia="SimSun" w:cs="Arial"/>
          <w:i w:val="0"/>
          <w:caps w:val="0"/>
          <w:spacing w:val="0"/>
          <w:sz w:val="45"/>
          <w:szCs w:val="45"/>
          <w:shd w:val="clear" w:fill="FFFFFF"/>
        </w:rPr>
      </w:pPr>
      <w:r>
        <w:rPr>
          <w:rFonts w:hint="default" w:ascii="Cambria" w:hAnsi="Cambria" w:eastAsia="SimSun" w:cs="Cambria"/>
          <w:b/>
          <w:bCs/>
          <w:i w:val="0"/>
          <w:caps w:val="0"/>
          <w:spacing w:val="0"/>
          <w:sz w:val="22"/>
          <w:szCs w:val="22"/>
          <w:shd w:val="clear" w:fill="FFFFFF"/>
        </w:rPr>
        <w:t>Karl Weierstraß</w:t>
      </w:r>
    </w:p>
    <w:p>
      <w:pPr>
        <w:jc w:val="center"/>
        <w:rPr>
          <w:rFonts w:hint="default" w:ascii="Cambria" w:hAnsi="Cambria" w:cs="Cambria"/>
          <w:b/>
          <w:bCs/>
          <w:color w:val="auto"/>
          <w:sz w:val="24"/>
          <w:szCs w:val="24"/>
          <w:shd w:val="clear" w:color="auto" w:fill="auto"/>
          <w:lang w:val="es-CO"/>
        </w:rPr>
      </w:pP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>M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atemático alemán que se suele citar como el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 xml:space="preserve"> &lt;&lt;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padre del 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begin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instrText xml:space="preserve"> HYPERLINK "https://es.wikipedia.org/wiki/An%C3%A1lisis_matem%C3%A1tico" \o "Análisis matemático" </w:instrTex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separate"/>
      </w:r>
      <w:r>
        <w:rPr>
          <w:rStyle w:val="6"/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t>análisis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end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moderno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>&gt;&gt;</w:t>
      </w:r>
    </w:p>
    <w:p/>
    <w:p/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80D80"/>
    <w:multiLevelType w:val="singleLevel"/>
    <w:tmpl w:val="81C80D80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7717DF2D"/>
    <w:multiLevelType w:val="singleLevel"/>
    <w:tmpl w:val="7717DF2D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D75F13"/>
    <w:rsid w:val="0C281349"/>
    <w:rsid w:val="29AB4BBF"/>
    <w:rsid w:val="331468B6"/>
    <w:rsid w:val="33484270"/>
    <w:rsid w:val="3C13166B"/>
    <w:rsid w:val="40AE19B7"/>
    <w:rsid w:val="4AEA571F"/>
    <w:rsid w:val="4F270B1C"/>
    <w:rsid w:val="591452D2"/>
    <w:rsid w:val="602A71FF"/>
    <w:rsid w:val="6310405B"/>
    <w:rsid w:val="74A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252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2020-07-23T14:14:44Z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