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Productos notables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27/07/2020</w:t>
      </w:r>
    </w:p>
    <w:p>
      <w:pPr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Productos notables</w:t>
      </w:r>
    </w:p>
    <w:p>
      <w:pP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Los productos notables son </w:t>
      </w: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productos que cumplen reglas fijas y cuyo resultado puede ser escrito por simple inspección</w:t>
      </w: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.</w:t>
      </w:r>
    </w:p>
    <w:p>
      <w:pP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Producto de la forma 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25" o:spt="75" type="#_x0000_t75" style="height:19pt;width:3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Cuando se tiene una suma elevada al cuadrado, lo que se pide es multiplicar la suma por si misma, como se muestra a continuación.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26" o:spt="75" type="#_x0000_t75" style="height:19pt;width:11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La anterior multiplicación se realiza de la siguiente forma.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68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27" o:spt="75" type="#_x0000_t75" style="height:74pt;width:18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Forma gráfica</w:t>
      </w:r>
    </w:p>
    <w:p>
      <w:pP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 w:val="0"/>
          <w:bCs w:val="0"/>
          <w:i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Gráficamente </w:t>
      </w: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se puede expresar  lo anterior  como el área de un cuadrado  de lado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 como se muestra continuación.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2256790" cy="1863090"/>
            <wp:effectExtent l="0" t="0" r="10160" b="381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2266950" cy="2031365"/>
            <wp:effectExtent l="0" t="0" r="0" b="6985"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i/>
          <w:iCs/>
          <w:sz w:val="22"/>
          <w:szCs w:val="22"/>
          <w:lang w:val="es-CO"/>
        </w:rPr>
        <w:t>La figura de la izquierda es un cuadrado de lado (a+b)  y la figura de la parte  derecha es el mismo cuadrado de lado (a+b) mostrando la división de (a) y la división (b).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El Área de cuadrilátero esta dada por la multiplicación de la base por altura; si tomamos el cuadrado de la parte derecha, el área del cuadrado seria la siguiente: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10"/>
          <w:sz w:val="22"/>
          <w:szCs w:val="22"/>
          <w:lang w:val="es-CO"/>
        </w:rPr>
        <w:object>
          <v:shape id="_x0000_i1029" o:spt="75" type="#_x0000_t75" style="height:18pt;width:14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Donde b es la base y h es la altura 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Ahora si tomamos el cuadrado de la parte derecha con las divisiones de  (a) y (b) ,tenemos que el cuadrado esta formado por  4 cuadriláteros;  si encontramos el área de cada cuadrilátero y las sumamos encontramos  el área del cuadrado total.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2143125" cy="2000250"/>
            <wp:effectExtent l="0" t="0" r="9525" b="0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171575" cy="2114550"/>
            <wp:effectExtent l="0" t="0" r="9525" b="0"/>
            <wp:docPr id="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171575" cy="2114550"/>
            <wp:effectExtent l="0" t="0" r="9525" b="0"/>
            <wp:docPr id="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181100" cy="1190625"/>
            <wp:effectExtent l="0" t="0" r="0" b="9525"/>
            <wp:docPr id="1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Área Cuadrilátero de color marrón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744980" cy="1629410"/>
            <wp:effectExtent l="0" t="0" r="7620" b="889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position w:val="-6"/>
          <w:sz w:val="22"/>
          <w:szCs w:val="22"/>
        </w:rPr>
        <w:object>
          <v:shape id="_x0000_i1030" o:spt="75" type="#_x0000_t75" style="height:16pt;width:111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1">
            <o:LockedField>false</o:LockedField>
          </o:OLEObject>
        </w:objec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Área del cuadrilátero morado: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181100" cy="1190625"/>
            <wp:effectExtent l="0" t="0" r="0" b="9525"/>
            <wp:docPr id="1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sz w:val="22"/>
          <w:szCs w:val="22"/>
          <w:lang w:val="es-CO"/>
        </w:rPr>
        <w:t xml:space="preserve">  </w:t>
      </w:r>
      <w:r>
        <w:rPr>
          <w:rFonts w:hint="default" w:ascii="Cambria" w:hAnsi="Cambria" w:cs="Cambria"/>
          <w:position w:val="-6"/>
          <w:sz w:val="22"/>
          <w:szCs w:val="22"/>
        </w:rPr>
        <w:object>
          <v:shape id="_x0000_i1031" o:spt="75" type="#_x0000_t75" style="height:16pt;width:110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3">
            <o:LockedField>false</o:LockedField>
          </o:OLEObject>
        </w:objec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Área de los cuadriláteros amarillos 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171575" cy="21145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position w:val="-6"/>
          <w:sz w:val="22"/>
          <w:szCs w:val="22"/>
        </w:rPr>
        <w:object>
          <v:shape id="_x0000_i1032" o:spt="75" type="#_x0000_t75" style="height:13.95pt;width:13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5">
            <o:LockedField>false</o:LockedField>
          </o:OLEObject>
        </w:objec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171575" cy="21145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position w:val="-6"/>
          <w:sz w:val="22"/>
          <w:szCs w:val="22"/>
        </w:rPr>
        <w:object>
          <v:shape id="_x0000_i1033" o:spt="75" type="#_x0000_t75" style="height:13.95pt;width:13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7">
            <o:LockedField>false</o:LockedField>
          </o:OLEObject>
        </w:objec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Suma de las áreas 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Área total=área del cuadrilátero marrón  +  área del cuadrilátero morado +  área del cuadrilátero amarillo  +  área del cuadrilátero amarillo =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6"/>
          <w:sz w:val="22"/>
          <w:szCs w:val="22"/>
          <w:lang w:val="es-CO"/>
        </w:rPr>
        <w:object>
          <v:shape id="_x0000_i1034" o:spt="75" type="#_x0000_t75" style="height:16pt;width:23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8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sz w:val="22"/>
          <w:szCs w:val="22"/>
          <w:lang w:val="es-CO"/>
        </w:rPr>
        <w:t>Deforma operacional, como forma gráfica obtenemos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35" o:spt="75" type="#_x0000_t75" style="height:19pt;width:3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0">
            <o:LockedField>false</o:LockedField>
          </o:OLEObject>
        </w:object>
      </w:r>
      <w:r>
        <w:rPr>
          <w:rStyle w:val="7"/>
          <w:rFonts w:hint="default" w:ascii="Cambria" w:hAnsi="Cambria" w:eastAsia="serif" w:cs="Cambria"/>
          <w:b w:val="0"/>
          <w:bCs w:val="0"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 es igual</w:t>
      </w:r>
      <w:r>
        <w:rPr>
          <w:rFonts w:hint="default" w:ascii="Cambria" w:hAnsi="Cambria" w:cs="Cambria"/>
          <w:sz w:val="22"/>
          <w:szCs w:val="22"/>
          <w:lang w:val="es-CO"/>
        </w:rPr>
        <w:t xml:space="preserve"> a </w:t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819150" cy="200025"/>
            <wp:effectExtent l="0" t="0" r="0" b="7620"/>
            <wp:docPr id="15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sz w:val="22"/>
          <w:szCs w:val="22"/>
          <w:lang w:val="es-CO"/>
        </w:rPr>
        <w:t xml:space="preserve"> 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Aplicación: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Ejercicio 1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36" o:spt="75" type="#_x0000_t75" style="height:18pt;width:3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2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Solución: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37" o:spt="75" type="#_x0000_t75" style="height:19pt;width:3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4">
            <o:LockedField>false</o:LockedField>
          </o:OLEObject>
        </w:objec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819150" cy="200025"/>
            <wp:effectExtent l="0" t="0" r="0" b="7620"/>
            <wp:docPr id="1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Identificamos que es (a) y que es (b); y Aplicamos la anterior formula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42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38" o:spt="75" type="#_x0000_t75" style="height:148pt;width:113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6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Ejercicio 2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39" o:spt="75" type="#_x0000_t75" style="height:18pt;width:4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8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S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olución: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40" o:spt="75" type="#_x0000_t75" style="height:19pt;width:3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0">
            <o:LockedField>false</o:LockedField>
          </o:OLEObject>
        </w:objec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819150" cy="200025"/>
            <wp:effectExtent l="0" t="0" r="0" b="7620"/>
            <wp:docPr id="17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Identificamos que es (a) y que es (b); y Aplicamos la anterior formula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66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41" o:spt="75" type="#_x0000_t75" style="height:170pt;width:11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Ejercicio 3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42" o:spt="75" type="#_x0000_t75" style="height:18pt;width:44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3">
            <o:LockedField>false</o:LockedField>
          </o:OLEObject>
        </w:objec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S</w: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olución: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43" o:spt="75" type="#_x0000_t75" style="height:19pt;width:3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819150" cy="200025"/>
            <wp:effectExtent l="0" t="0" r="0" b="7620"/>
            <wp:docPr id="1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Identificamos que es (a) y que es (b); y Aplicamos la anterior formula</w:t>
      </w:r>
    </w:p>
    <w:p>
      <w:pP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Cambria" w:hAnsi="Cambria" w:eastAsia="serif" w:cs="Cambria"/>
          <w:b/>
          <w:bCs/>
          <w:i w:val="0"/>
          <w:caps w:val="0"/>
          <w:color w:val="000000" w:themeColor="text1"/>
          <w:spacing w:val="0"/>
          <w:position w:val="-166"/>
          <w:sz w:val="22"/>
          <w:szCs w:val="22"/>
          <w:shd w:val="clear" w:color="auto" w:fill="auto"/>
          <w:lang w:val="es-CO"/>
          <w14:textFill>
            <w14:solidFill>
              <w14:schemeClr w14:val="tx1"/>
            </w14:solidFill>
          </w14:textFill>
        </w:rPr>
        <w:object>
          <v:shape id="_x0000_i1044" o:spt="75" type="#_x0000_t75" style="height:170pt;width:119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6">
            <o:LockedField>false</o:LockedField>
          </o:OLEObject>
        </w:objec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Realice un mapa mental de la anterior lectura. </w:t>
      </w:r>
      <w:bookmarkStart w:id="0" w:name="_GoBack"/>
      <w:bookmarkEnd w:id="0"/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Puntos extra: </w:t>
      </w:r>
      <w:r>
        <w:rPr>
          <w:rFonts w:hint="default" w:ascii="Cambria" w:hAnsi="Cambria" w:eastAsia="Arial" w:cs="Cambria"/>
          <w:i w:val="0"/>
          <w:caps w:val="0"/>
          <w:color w:val="FF0000"/>
          <w:spacing w:val="0"/>
          <w:sz w:val="22"/>
          <w:szCs w:val="22"/>
          <w:shd w:val="clear" w:color="auto" w:fill="auto"/>
        </w:rPr>
        <w:t>Acertijo sencillo, nos dice “¿Cómo podemos hacer que cuatro nueves den como resultado cien?”</w:t>
      </w:r>
    </w:p>
    <w:p>
      <w:pPr>
        <w:jc w:val="center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hint="default" w:ascii="Cambria" w:hAnsi="Cambria" w:eastAsia="SimSun" w:cs="Cambria"/>
          <w:i w:val="0"/>
          <w:caps w:val="0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2"/>
          <w:szCs w:val="22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color="auto" w:fill="auto"/>
          <w:lang w:val="es-CO"/>
        </w:rPr>
        <w:t>&gt;&gt;</w:t>
      </w:r>
    </w:p>
    <w:p>
      <w:pPr>
        <w:rPr>
          <w:rFonts w:hint="default" w:ascii="Cambria" w:hAnsi="Cambria" w:cs="Cambria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FDCA4"/>
    <w:multiLevelType w:val="singleLevel"/>
    <w:tmpl w:val="E6CFDCA4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F363E"/>
    <w:rsid w:val="53D60EB0"/>
    <w:rsid w:val="61BF363E"/>
    <w:rsid w:val="7CE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2.png"/><Relationship Id="rId49" Type="http://schemas.openxmlformats.org/officeDocument/2006/relationships/customXml" Target="../customXml/item1.xml"/><Relationship Id="rId48" Type="http://schemas.openxmlformats.org/officeDocument/2006/relationships/image" Target="media/image25.png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5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wmf"/><Relationship Id="rId23" Type="http://schemas.openxmlformats.org/officeDocument/2006/relationships/oleObject" Target="embeddings/oleObject7.bin"/><Relationship Id="rId22" Type="http://schemas.openxmlformats.org/officeDocument/2006/relationships/image" Target="media/image13.wmf"/><Relationship Id="rId21" Type="http://schemas.openxmlformats.org/officeDocument/2006/relationships/oleObject" Target="embeddings/oleObject6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2020-07-22T00:35:00Z</dcterms:created>
  <dc:creator>google1563159686</dc:creator>
  <cp:lastModifiedBy>google1563159686</cp:lastModifiedBy>
  <dcterms:modified xsi:type="dcterms:W3CDTF">2020-07-22T22:08:33Z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