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TEMA:</w:t>
      </w:r>
      <w:r>
        <w:rPr>
          <w:rFonts w:hint="default" w:ascii="Cambria" w:hAnsi="Cambria"/>
          <w:b/>
          <w:lang w:val="es-CO"/>
        </w:rPr>
        <w:t xml:space="preserve"> Medidas de tendencia central. 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13/07/2020.</w:t>
      </w: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Videos: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1: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"https://youtu.be/qWgkzvPwiog"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https://youtu.be/qWgkzvPwiog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2: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"https://youtu.be/aPG2bULBnlk"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https://youtu.be/aPG2bULBnlk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3: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"https://youtu.be/_eQ74ALSftQ"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https://youtu.be/_eQ74ALSftQ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Parte 4: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"https://youtu.be/lr_boAO-UI0"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https://youtu.be/lr_boAO-UI0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lang w:val="es-CO"/>
        </w:rPr>
        <w:t xml:space="preserve"> </w:t>
      </w:r>
    </w:p>
    <w:p>
      <w:r>
        <w:drawing>
          <wp:inline distT="0" distB="0" distL="114300" distR="114300">
            <wp:extent cx="5271135" cy="3496945"/>
            <wp:effectExtent l="0" t="0" r="571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1925955"/>
            <wp:effectExtent l="0" t="0" r="4445" b="171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13985" cy="2293620"/>
            <wp:effectExtent l="0" t="0" r="5715" b="1143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CO"/>
        </w:rPr>
      </w:pP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jc w:val="both"/>
      </w:pPr>
      <w:r>
        <w:drawing>
          <wp:inline distT="0" distB="0" distL="114300" distR="114300">
            <wp:extent cx="5269865" cy="2199005"/>
            <wp:effectExtent l="0" t="0" r="6985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Del anterior grupo de datos encontrar :</w:t>
      </w:r>
    </w:p>
    <w:p>
      <w:pPr>
        <w:numPr>
          <w:ilvl w:val="0"/>
          <w:numId w:val="2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Media aritmética.</w:t>
      </w:r>
    </w:p>
    <w:p>
      <w:pPr>
        <w:numPr>
          <w:ilvl w:val="0"/>
          <w:numId w:val="2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Mediana.</w:t>
      </w:r>
    </w:p>
    <w:p>
      <w:pPr>
        <w:numPr>
          <w:ilvl w:val="0"/>
          <w:numId w:val="2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>Moda.</w:t>
      </w:r>
    </w:p>
    <w:p>
      <w:pPr>
        <w:numPr>
          <w:numId w:val="0"/>
        </w:numPr>
        <w:jc w:val="both"/>
        <w:rPr>
          <w:rFonts w:hint="default"/>
          <w:lang w:val="es-CO"/>
        </w:rPr>
      </w:pPr>
      <w:r>
        <w:rPr>
          <w:rFonts w:hint="default"/>
          <w:color w:val="FF0000"/>
          <w:lang w:val="es-CO"/>
        </w:rPr>
        <w:t>Puntos extras: ¿Se cumple la relación de la ecuación 10?. Argumente</w:t>
      </w:r>
      <w:r>
        <w:rPr>
          <w:rFonts w:hint="default"/>
          <w:lang w:val="es-CO"/>
        </w:rPr>
        <w:t xml:space="preserve">   </w:t>
      </w:r>
    </w:p>
    <w:p>
      <w:pPr>
        <w:numPr>
          <w:numId w:val="0"/>
        </w:numPr>
        <w:jc w:val="both"/>
        <w:rPr>
          <w:rFonts w:hint="default"/>
          <w:color w:val="0000FF"/>
          <w:lang w:val="es-CO"/>
        </w:rPr>
      </w:pPr>
      <w:r>
        <w:rPr>
          <w:rFonts w:hint="default"/>
          <w:color w:val="0000FF"/>
          <w:lang w:val="es-CO"/>
        </w:rPr>
        <w:t>3,5,6,6,7,10,12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Del anterior grupo de datos encontrar todas las medidas de tendecia central. </w:t>
      </w:r>
    </w:p>
    <w:p>
      <w:pPr>
        <w:numPr>
          <w:numId w:val="0"/>
        </w:numPr>
        <w:ind w:leftChars="0"/>
        <w:jc w:val="both"/>
        <w:rPr>
          <w:rFonts w:hint="default"/>
          <w:color w:val="FF0000"/>
          <w:lang w:val="es-CO"/>
        </w:rPr>
      </w:pPr>
      <w:r>
        <w:rPr>
          <w:rFonts w:hint="default"/>
          <w:color w:val="FF0000"/>
          <w:lang w:val="es-CO"/>
        </w:rPr>
        <w:t xml:space="preserve">Puntos extras:¿Se cumple la ecuación 10 y 14?. Argumente </w:t>
      </w:r>
    </w:p>
    <w:p>
      <w:pPr>
        <w:numPr>
          <w:numId w:val="0"/>
        </w:numPr>
        <w:jc w:val="both"/>
        <w:rPr>
          <w:rFonts w:hint="default"/>
          <w:lang w:val="es-CO"/>
        </w:rPr>
      </w:pPr>
    </w:p>
    <w:p>
      <w:pPr>
        <w:numPr>
          <w:numId w:val="0"/>
        </w:numPr>
        <w:jc w:val="both"/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D29C8"/>
    <w:multiLevelType w:val="singleLevel"/>
    <w:tmpl w:val="946D29C8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6FFFA882"/>
    <w:multiLevelType w:val="singleLevel"/>
    <w:tmpl w:val="6FFFA88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018FF"/>
    <w:rsid w:val="425018FF"/>
    <w:rsid w:val="439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2020-07-08T23:34:00Z</dcterms:created>
  <dc:creator>google1563159686</dc:creator>
  <cp:lastModifiedBy>google1563159686</cp:lastModifiedBy>
  <dcterms:modified xsi:type="dcterms:W3CDTF">2020-07-09T00:17:19Z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